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134"/>
        <w:gridCol w:w="1418"/>
        <w:gridCol w:w="7796"/>
        <w:gridCol w:w="284"/>
        <w:gridCol w:w="248"/>
      </w:tblGrid>
      <w:tr w:rsidR="00B038D6" w:rsidRPr="00B038D6" w:rsidTr="00B038D6">
        <w:trPr>
          <w:trHeight w:val="300"/>
        </w:trPr>
        <w:tc>
          <w:tcPr>
            <w:tcW w:w="1134" w:type="dxa"/>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Level</w:t>
            </w:r>
          </w:p>
        </w:tc>
        <w:tc>
          <w:tcPr>
            <w:tcW w:w="1418" w:type="dxa"/>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p>
        </w:tc>
        <w:tc>
          <w:tcPr>
            <w:tcW w:w="8080" w:type="dxa"/>
            <w:gridSpan w:val="2"/>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xml:space="preserve">: Kabupaten Tanjatim </w:t>
            </w:r>
          </w:p>
        </w:tc>
        <w:tc>
          <w:tcPr>
            <w:tcW w:w="248" w:type="dxa"/>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p>
        </w:tc>
      </w:tr>
      <w:tr w:rsidR="00B038D6" w:rsidRPr="00B038D6" w:rsidTr="00B038D6">
        <w:trPr>
          <w:trHeight w:val="300"/>
        </w:trPr>
        <w:tc>
          <w:tcPr>
            <w:tcW w:w="2552" w:type="dxa"/>
            <w:gridSpan w:val="2"/>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Komponen</w:t>
            </w:r>
          </w:p>
        </w:tc>
        <w:tc>
          <w:tcPr>
            <w:tcW w:w="8080" w:type="dxa"/>
            <w:gridSpan w:val="2"/>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A. Hukum dan Kebijakan</w:t>
            </w:r>
          </w:p>
        </w:tc>
        <w:tc>
          <w:tcPr>
            <w:tcW w:w="248" w:type="dxa"/>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p>
        </w:tc>
      </w:tr>
      <w:tr w:rsidR="00B038D6" w:rsidRPr="00B038D6" w:rsidTr="00B038D6">
        <w:trPr>
          <w:trHeight w:val="300"/>
        </w:trPr>
        <w:tc>
          <w:tcPr>
            <w:tcW w:w="1134" w:type="dxa"/>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p>
        </w:tc>
        <w:tc>
          <w:tcPr>
            <w:tcW w:w="1418" w:type="dxa"/>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p>
        </w:tc>
        <w:tc>
          <w:tcPr>
            <w:tcW w:w="7796" w:type="dxa"/>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p>
        </w:tc>
        <w:tc>
          <w:tcPr>
            <w:tcW w:w="284" w:type="dxa"/>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p>
        </w:tc>
        <w:tc>
          <w:tcPr>
            <w:tcW w:w="248" w:type="dxa"/>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p>
        </w:tc>
      </w:tr>
      <w:tr w:rsidR="00B038D6" w:rsidRPr="00B038D6" w:rsidTr="00B038D6">
        <w:trPr>
          <w:trHeight w:val="300"/>
        </w:trPr>
        <w:tc>
          <w:tcPr>
            <w:tcW w:w="2552" w:type="dxa"/>
            <w:gridSpan w:val="2"/>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Isu dalam PGA REDD+</w:t>
            </w:r>
          </w:p>
        </w:tc>
        <w:tc>
          <w:tcPr>
            <w:tcW w:w="8080" w:type="dxa"/>
            <w:gridSpan w:val="2"/>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xml:space="preserve">:  I. Perencanaan Kehutanan dan Tata Ruang </w:t>
            </w:r>
          </w:p>
        </w:tc>
        <w:tc>
          <w:tcPr>
            <w:tcW w:w="248" w:type="dxa"/>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p>
        </w:tc>
      </w:tr>
      <w:tr w:rsidR="00B038D6" w:rsidRPr="00B038D6" w:rsidTr="00B038D6">
        <w:trPr>
          <w:trHeight w:val="1140"/>
        </w:trPr>
        <w:tc>
          <w:tcPr>
            <w:tcW w:w="2552" w:type="dxa"/>
            <w:gridSpan w:val="2"/>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Indikator</w:t>
            </w:r>
          </w:p>
        </w:tc>
        <w:tc>
          <w:tcPr>
            <w:tcW w:w="8328" w:type="dxa"/>
            <w:gridSpan w:val="3"/>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xml:space="preserve">: a. Keberadaan dan komprehensiveness aturan yang mengatur transparansi penyusunan perencanaan kehutanan dan Rencana Tata Ruang dan Rencana Wilayah (RTRW) </w:t>
            </w:r>
          </w:p>
        </w:tc>
      </w:tr>
      <w:tr w:rsidR="00B038D6" w:rsidRPr="00B038D6" w:rsidTr="00B038D6">
        <w:trPr>
          <w:trHeight w:val="975"/>
        </w:trPr>
        <w:tc>
          <w:tcPr>
            <w:tcW w:w="2552" w:type="dxa"/>
            <w:gridSpan w:val="2"/>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Objek Analisis</w:t>
            </w:r>
          </w:p>
        </w:tc>
        <w:tc>
          <w:tcPr>
            <w:tcW w:w="8328" w:type="dxa"/>
            <w:gridSpan w:val="3"/>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Undang-Undang, Peraturan Pemerintah, Peraturan Presiden, Keputusan Presiden, Instruksi Presiden, Peraturan Menteri, Keputusan Menteri, Peraturan Gubernur, Peraturan Daerah atau peraturan yang bersifat teknis</w:t>
            </w:r>
          </w:p>
        </w:tc>
      </w:tr>
    </w:tbl>
    <w:p w:rsidR="00D74DB4" w:rsidRDefault="00D74DB4"/>
    <w:tbl>
      <w:tblPr>
        <w:tblW w:w="4953" w:type="pct"/>
        <w:tblInd w:w="103" w:type="dxa"/>
        <w:tblLayout w:type="fixed"/>
        <w:tblLook w:val="04A0"/>
      </w:tblPr>
      <w:tblGrid>
        <w:gridCol w:w="856"/>
        <w:gridCol w:w="1299"/>
        <w:gridCol w:w="1262"/>
        <w:gridCol w:w="5816"/>
        <w:gridCol w:w="1652"/>
      </w:tblGrid>
      <w:tr w:rsidR="00B038D6" w:rsidRPr="00B038D6" w:rsidTr="00B038D6">
        <w:trPr>
          <w:trHeight w:val="30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Kode</w:t>
            </w:r>
          </w:p>
        </w:tc>
        <w:tc>
          <w:tcPr>
            <w:tcW w:w="1299"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Item Data</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Data</w:t>
            </w:r>
          </w:p>
        </w:tc>
        <w:tc>
          <w:tcPr>
            <w:tcW w:w="5816" w:type="dxa"/>
            <w:tcBorders>
              <w:top w:val="single" w:sz="4" w:space="0" w:color="auto"/>
              <w:left w:val="nil"/>
              <w:bottom w:val="nil"/>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Dokumen Hukum dan Kebijakan</w:t>
            </w:r>
          </w:p>
        </w:tc>
        <w:tc>
          <w:tcPr>
            <w:tcW w:w="1652"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Kategori Data</w:t>
            </w:r>
          </w:p>
        </w:tc>
      </w:tr>
      <w:tr w:rsidR="00B038D6" w:rsidRPr="00B038D6" w:rsidTr="00B038D6">
        <w:trPr>
          <w:trHeight w:val="2175"/>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AIa1</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Data/informasi pembuatan RTRW</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Perda 9 Tahun 2007</w:t>
            </w:r>
          </w:p>
        </w:tc>
        <w:tc>
          <w:tcPr>
            <w:tcW w:w="5816"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Pada tingkat kabupaten tidak dtemukan dokumen yang mengatur tengtang informasi pembuatan RTRW. Infoirmasi pembuatan peraturan daerah di pemerintahan daerah di tingkat provinsi dan Kabupaten merujuk kepada PERATURAN DAERAH PROVINSI JAMBI (PERDA JAMBI)  NOMOR 9 TAHUN 2007 (9/2007)</w:t>
            </w:r>
            <w:r w:rsidRPr="00B038D6">
              <w:rPr>
                <w:rFonts w:ascii="Times New Roman" w:eastAsia="Times New Roman" w:hAnsi="Times New Roman" w:cs="Times New Roman"/>
                <w:color w:val="000000"/>
                <w:lang w:eastAsia="id-ID"/>
              </w:rPr>
              <w:br/>
              <w:t xml:space="preserve"> TENTANG  TATA CARA MEMPERSIAPKAN RANCANGAN PERATURAN DAERAH, dalam pasal 3 disebutkan Daftar rancangan Perda yang tersusun dalam prolegda., diumumkan di surat kabar lokal untuk diketahui oleh masyarakat. </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2</w:t>
            </w:r>
          </w:p>
        </w:tc>
      </w:tr>
      <w:tr w:rsidR="00B038D6" w:rsidRPr="00B038D6" w:rsidTr="00B038D6">
        <w:trPr>
          <w:trHeight w:val="1215"/>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AIa2</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Informasi rencana pembentukan RTRW(K)</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1125"/>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AIa3</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Pengumuman usulan perubahan peruntukan</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1395"/>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AIa4</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Kejelasan informasi  yang dapat diakses berdasarkan uji konsekuensi</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dokumen</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aturan tenyang kejeasalan informasi yang dapat diakses berdasarkan uji konsekuensi penyusunan perencanaan kehutanan dan RTRW yang ada lebih kepada koordinasi subtansi yang akan dimasukkan dalam perencanaan antara pemerintah dan DPRD melalui mekanisme check and balances</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300"/>
        </w:trPr>
        <w:tc>
          <w:tcPr>
            <w:tcW w:w="856" w:type="dxa"/>
            <w:tcBorders>
              <w:top w:val="nil"/>
              <w:left w:val="nil"/>
              <w:bottom w:val="nil"/>
              <w:right w:val="nil"/>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p>
        </w:tc>
        <w:tc>
          <w:tcPr>
            <w:tcW w:w="1299" w:type="dxa"/>
            <w:tcBorders>
              <w:top w:val="nil"/>
              <w:left w:val="nil"/>
              <w:bottom w:val="nil"/>
              <w:right w:val="nil"/>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p>
        </w:tc>
        <w:tc>
          <w:tcPr>
            <w:tcW w:w="1262" w:type="dxa"/>
            <w:tcBorders>
              <w:top w:val="nil"/>
              <w:left w:val="nil"/>
              <w:bottom w:val="nil"/>
              <w:right w:val="nil"/>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p>
        </w:tc>
        <w:tc>
          <w:tcPr>
            <w:tcW w:w="5816" w:type="dxa"/>
            <w:tcBorders>
              <w:top w:val="nil"/>
              <w:left w:val="nil"/>
              <w:bottom w:val="nil"/>
              <w:right w:val="nil"/>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p>
        </w:tc>
        <w:tc>
          <w:tcPr>
            <w:tcW w:w="1652" w:type="dxa"/>
            <w:tcBorders>
              <w:top w:val="nil"/>
              <w:left w:val="nil"/>
              <w:bottom w:val="nil"/>
              <w:right w:val="nil"/>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p>
        </w:tc>
      </w:tr>
      <w:tr w:rsidR="00B038D6" w:rsidRPr="00B038D6" w:rsidTr="00B038D6">
        <w:trPr>
          <w:trHeight w:val="660"/>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Indikator</w:t>
            </w:r>
          </w:p>
        </w:tc>
        <w:tc>
          <w:tcPr>
            <w:tcW w:w="8730" w:type="dxa"/>
            <w:gridSpan w:val="3"/>
            <w:tcBorders>
              <w:top w:val="nil"/>
              <w:left w:val="nil"/>
              <w:bottom w:val="nil"/>
              <w:right w:val="nil"/>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b. Keberadaan dan komprehensiveness aturan yang mengatur penyusunan perencanaan kehutanan dan Rencana Tata Ruang dan Rencana Wilayah (RTRW) yang partisipatif</w:t>
            </w:r>
          </w:p>
        </w:tc>
      </w:tr>
      <w:tr w:rsidR="00B038D6" w:rsidRPr="00B038D6" w:rsidTr="00B038D6">
        <w:trPr>
          <w:trHeight w:val="1035"/>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Objek Analisis</w:t>
            </w:r>
          </w:p>
        </w:tc>
        <w:tc>
          <w:tcPr>
            <w:tcW w:w="8730" w:type="dxa"/>
            <w:gridSpan w:val="3"/>
            <w:tcBorders>
              <w:top w:val="nil"/>
              <w:left w:val="nil"/>
              <w:bottom w:val="single" w:sz="4" w:space="0" w:color="auto"/>
              <w:right w:val="nil"/>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Undang-Undang, Peraturan Pemerintah, Peraturan Presiden, Keputusan Presiden, Instruksi Presiden, Peraturan Menteri, Keputusan Menteri, Peraturan Gubernur, Peraturan Daerah atau peraturan yang bersifat teknis</w:t>
            </w:r>
          </w:p>
        </w:tc>
      </w:tr>
      <w:tr w:rsidR="00B038D6" w:rsidRPr="00B038D6" w:rsidTr="00B038D6">
        <w:trPr>
          <w:trHeight w:val="30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Kode</w:t>
            </w:r>
          </w:p>
        </w:tc>
        <w:tc>
          <w:tcPr>
            <w:tcW w:w="1299"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Item Data</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Data</w:t>
            </w:r>
          </w:p>
        </w:tc>
        <w:tc>
          <w:tcPr>
            <w:tcW w:w="5816" w:type="dxa"/>
            <w:tcBorders>
              <w:top w:val="nil"/>
              <w:left w:val="nil"/>
              <w:bottom w:val="nil"/>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Dokumen Hukum dan Kebijakan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Kategori Data</w:t>
            </w:r>
          </w:p>
        </w:tc>
      </w:tr>
      <w:tr w:rsidR="00B038D6" w:rsidRPr="00B038D6" w:rsidTr="00B038D6">
        <w:trPr>
          <w:trHeight w:val="4200"/>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lastRenderedPageBreak/>
              <w:t>AIb1</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Mekanisme pengambilan keputusan yang memudahkan keterlibatan pihak yang berkepentingan</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xml:space="preserve">PP 68 Tahun 2010, Perda 9 Tahun 2007   </w:t>
            </w:r>
          </w:p>
        </w:tc>
        <w:tc>
          <w:tcPr>
            <w:tcW w:w="5816"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didapati dokumen yang mengatur mekanisme pengambilan keputusan yang memudahkan keterlibatan pihak yang berkepentingan dalam perencanaan kehutanan dan RTRWK. Terkait dengan partispasi masyarakat dalam RTRWK, aturan yang berlaku mengacuk kepada PERATURAN PEMERINTAH REPUBLIK INDONESIA</w:t>
            </w:r>
            <w:r w:rsidRPr="00B038D6">
              <w:rPr>
                <w:rFonts w:ascii="Times New Roman" w:eastAsia="Times New Roman" w:hAnsi="Times New Roman" w:cs="Times New Roman"/>
                <w:color w:val="000000"/>
                <w:lang w:eastAsia="id-ID"/>
              </w:rPr>
              <w:br/>
              <w:t>NOMOR 68 TAHUN 2010 TENTANG BENTUK DAN TATA CARA PERAN MASYARAKAT DALAM PENATAAN RUANG. Aturan yang digunakan dalam pemyusunan perda secara umum temasuk Perda RTRW, merujuk kepada  PERATURAN DAERAH PROVINSI JAMBI (PERDA JAMBI)  NOMOR 9 TAHUN 2007 (9/2007)  TENTANG  TATA CARA MEMPERSIAPKAN RANCANGAN PERATURAN DAERAH.  Dalam Bab V tentang peran serta masyarakat, pasal 24  ayat 1 disebutkan bahwa  Masyarakat berhak memberikan masukan secara lisan atau tertulis sebagai bahan penyempurnaan dalam tahap penyiapan rancangan Perda.</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2</w:t>
            </w:r>
          </w:p>
        </w:tc>
      </w:tr>
      <w:tr w:rsidR="00B038D6" w:rsidRPr="00B038D6" w:rsidTr="00B038D6">
        <w:trPr>
          <w:trHeight w:val="1380"/>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AIb2</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Petugas khusus yang bertanggung jawab mengelola masukan publik</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ditemukan dokumen yang menjelaskan tugas dan wewenang aparat pemerintah dibidang terkait yang khusus bertanggungjawab mengelola masukan publik bagi untuk penyusunan perencanaan kehutanan dan RTRWK</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1905"/>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AIb3</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Dokumentasi setiap masukan (tertulis/tidak tertulis)</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diproleh dokumen yang mengatur keharusan pendokumentasian masukan atau pun  notulasi masukan dalam penyusunan perencanaan kehutanan dan RTRWK , kecuali dalam PERATURAN DAERAH PROVINSI JAMBI (PERDA JAMBI)  NOMOR 9 TAHUN 2007 (9/2007)  TENTANG  TATA CARA MEMPERSIAPKAN RANCANGAN PERATURAN DAERAH. Dalam pasal 24 ayat 4 disebutkan bahwa Masukan dari masyarakat sebagaimana dimaksud pada ayat (1) dapat diagendakan dalam rapat penyiapan rancangan Perda.</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2</w:t>
            </w:r>
          </w:p>
        </w:tc>
      </w:tr>
      <w:tr w:rsidR="00B038D6" w:rsidRPr="00B038D6" w:rsidTr="00B038D6">
        <w:trPr>
          <w:trHeight w:val="1575"/>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AIb4</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Mekanisme respon terhadap masukan yang ada</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600"/>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AIb5</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Penjelasan atas keputusan akhir yang diambil</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600"/>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AIb6</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Pelaksanaan proses partisipasi</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300"/>
        </w:trPr>
        <w:tc>
          <w:tcPr>
            <w:tcW w:w="856" w:type="dxa"/>
            <w:tcBorders>
              <w:top w:val="nil"/>
              <w:left w:val="nil"/>
              <w:bottom w:val="nil"/>
              <w:right w:val="nil"/>
            </w:tcBorders>
            <w:shd w:val="clear" w:color="auto" w:fill="auto"/>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99" w:type="dxa"/>
            <w:tcBorders>
              <w:top w:val="nil"/>
              <w:left w:val="nil"/>
              <w:bottom w:val="nil"/>
              <w:right w:val="nil"/>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p>
        </w:tc>
        <w:tc>
          <w:tcPr>
            <w:tcW w:w="126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581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65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jc w:val="center"/>
              <w:rPr>
                <w:rFonts w:ascii="Calibri" w:eastAsia="Times New Roman" w:hAnsi="Calibri" w:cs="Times New Roman"/>
                <w:color w:val="000000"/>
                <w:lang w:eastAsia="id-ID"/>
              </w:rPr>
            </w:pPr>
          </w:p>
        </w:tc>
      </w:tr>
      <w:tr w:rsidR="00B038D6" w:rsidRPr="00B038D6" w:rsidTr="00B038D6">
        <w:trPr>
          <w:trHeight w:val="600"/>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Indikator</w:t>
            </w:r>
          </w:p>
        </w:tc>
        <w:tc>
          <w:tcPr>
            <w:tcW w:w="8730" w:type="dxa"/>
            <w:gridSpan w:val="3"/>
            <w:tcBorders>
              <w:top w:val="nil"/>
              <w:left w:val="nil"/>
              <w:bottom w:val="nil"/>
              <w:right w:val="nil"/>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c. Keberadaan dan komprehensiveness aturan yang mengatur program peningkatan kapasitas masyarakat dalam proses perencanaan kehutanan dan Rencana Tata Ruang dan Rencana Wilayah (RTRW)</w:t>
            </w:r>
          </w:p>
        </w:tc>
      </w:tr>
      <w:tr w:rsidR="00B038D6" w:rsidRPr="00B038D6" w:rsidTr="00B038D6">
        <w:trPr>
          <w:trHeight w:val="1230"/>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lastRenderedPageBreak/>
              <w:t>Objek Analisis</w:t>
            </w:r>
          </w:p>
        </w:tc>
        <w:tc>
          <w:tcPr>
            <w:tcW w:w="8730" w:type="dxa"/>
            <w:gridSpan w:val="3"/>
            <w:tcBorders>
              <w:top w:val="nil"/>
              <w:left w:val="nil"/>
              <w:bottom w:val="single" w:sz="4" w:space="0" w:color="auto"/>
              <w:right w:val="nil"/>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Undang-Undang, Peraturan Pemerintah, Peraturan Presiden, Keputusan Presiden, Instruksi Presiden, Peraturan Menteri, Keputusan Menteri, Peraturan Gubernur, Peraturan Daerah atau peraturan yang bersifat Teknis, RPJMN/D, Renstranas/da</w:t>
            </w:r>
          </w:p>
        </w:tc>
      </w:tr>
      <w:tr w:rsidR="00B038D6" w:rsidRPr="00B038D6" w:rsidTr="00B038D6">
        <w:trPr>
          <w:trHeight w:val="300"/>
        </w:trPr>
        <w:tc>
          <w:tcPr>
            <w:tcW w:w="856" w:type="dxa"/>
            <w:tcBorders>
              <w:top w:val="single" w:sz="4" w:space="0" w:color="auto"/>
              <w:left w:val="single" w:sz="4" w:space="0" w:color="auto"/>
              <w:bottom w:val="nil"/>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Kode</w:t>
            </w:r>
          </w:p>
        </w:tc>
        <w:tc>
          <w:tcPr>
            <w:tcW w:w="1299" w:type="dxa"/>
            <w:tcBorders>
              <w:top w:val="single" w:sz="4" w:space="0" w:color="auto"/>
              <w:left w:val="nil"/>
              <w:bottom w:val="nil"/>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Item Data</w:t>
            </w:r>
          </w:p>
        </w:tc>
        <w:tc>
          <w:tcPr>
            <w:tcW w:w="1262" w:type="dxa"/>
            <w:tcBorders>
              <w:top w:val="nil"/>
              <w:left w:val="nil"/>
              <w:bottom w:val="nil"/>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Data</w:t>
            </w:r>
          </w:p>
        </w:tc>
        <w:tc>
          <w:tcPr>
            <w:tcW w:w="5816" w:type="dxa"/>
            <w:tcBorders>
              <w:top w:val="nil"/>
              <w:left w:val="nil"/>
              <w:bottom w:val="nil"/>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Dokumen Hukum dan Kebijakan</w:t>
            </w:r>
          </w:p>
        </w:tc>
        <w:tc>
          <w:tcPr>
            <w:tcW w:w="1652" w:type="dxa"/>
            <w:tcBorders>
              <w:top w:val="nil"/>
              <w:left w:val="nil"/>
              <w:bottom w:val="nil"/>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Kategori Data</w:t>
            </w:r>
          </w:p>
        </w:tc>
      </w:tr>
      <w:tr w:rsidR="00B038D6" w:rsidRPr="00B038D6" w:rsidTr="00B038D6">
        <w:trPr>
          <w:trHeight w:val="120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AIc1</w:t>
            </w:r>
          </w:p>
        </w:tc>
        <w:tc>
          <w:tcPr>
            <w:tcW w:w="1299"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Program peningkatan kapasitas masyarakat Adat/ Lokal dalam perencanaan kehutanan dan wilayah</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1200"/>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AIc2</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Program peningkatan kapasitas pemerintah dalam perencanaan kehuatanan dan wilayah</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300"/>
        </w:trPr>
        <w:tc>
          <w:tcPr>
            <w:tcW w:w="856" w:type="dxa"/>
            <w:tcBorders>
              <w:top w:val="nil"/>
              <w:left w:val="nil"/>
              <w:bottom w:val="nil"/>
              <w:right w:val="nil"/>
            </w:tcBorders>
            <w:shd w:val="clear" w:color="auto" w:fill="auto"/>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99" w:type="dxa"/>
            <w:tcBorders>
              <w:top w:val="nil"/>
              <w:left w:val="nil"/>
              <w:bottom w:val="nil"/>
              <w:right w:val="nil"/>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p>
        </w:tc>
        <w:tc>
          <w:tcPr>
            <w:tcW w:w="126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581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65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jc w:val="center"/>
              <w:rPr>
                <w:rFonts w:ascii="Calibri" w:eastAsia="Times New Roman" w:hAnsi="Calibri" w:cs="Times New Roman"/>
                <w:color w:val="000000"/>
                <w:lang w:eastAsia="id-ID"/>
              </w:rPr>
            </w:pPr>
          </w:p>
        </w:tc>
      </w:tr>
      <w:tr w:rsidR="00B038D6" w:rsidRPr="00B038D6" w:rsidTr="00B038D6">
        <w:trPr>
          <w:trHeight w:val="945"/>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Indikator</w:t>
            </w:r>
          </w:p>
        </w:tc>
        <w:tc>
          <w:tcPr>
            <w:tcW w:w="8730" w:type="dxa"/>
            <w:gridSpan w:val="3"/>
            <w:tcBorders>
              <w:top w:val="nil"/>
              <w:left w:val="nil"/>
              <w:bottom w:val="nil"/>
              <w:right w:val="nil"/>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d. Keberadaan dan komprehensiveness aturan yang mengatur Mekanisme penanganan pengaduan dalam proses perencanaan kehutanan dan Rencana Tata Ruang dan Rencana Wilayah (RTRW)</w:t>
            </w:r>
          </w:p>
        </w:tc>
      </w:tr>
      <w:tr w:rsidR="00B038D6" w:rsidRPr="00B038D6" w:rsidTr="00B038D6">
        <w:trPr>
          <w:trHeight w:val="1005"/>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Data</w:t>
            </w:r>
          </w:p>
        </w:tc>
        <w:tc>
          <w:tcPr>
            <w:tcW w:w="8730" w:type="dxa"/>
            <w:gridSpan w:val="3"/>
            <w:tcBorders>
              <w:top w:val="nil"/>
              <w:left w:val="nil"/>
              <w:bottom w:val="single" w:sz="4" w:space="0" w:color="auto"/>
              <w:right w:val="nil"/>
            </w:tcBorders>
            <w:shd w:val="clear" w:color="auto" w:fill="auto"/>
            <w:vAlign w:val="center"/>
            <w:hideMark/>
          </w:tcPr>
          <w:p w:rsidR="00B038D6" w:rsidRPr="00B038D6" w:rsidRDefault="00B038D6" w:rsidP="00B038D6">
            <w:pPr>
              <w:spacing w:after="24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Undang-Undang, Peraturan Pemerintah, Peraturan Presiden, Keputusan Presiden, Instruksi Presiden, Peraturan Menteri, Keputusan Menteri, Peraturan Gubernur, Peraturan Daerah atau peraturan yang bersifat teknis</w:t>
            </w:r>
          </w:p>
        </w:tc>
      </w:tr>
      <w:tr w:rsidR="00B038D6" w:rsidRPr="00B038D6" w:rsidTr="00B038D6">
        <w:trPr>
          <w:trHeight w:val="300"/>
        </w:trPr>
        <w:tc>
          <w:tcPr>
            <w:tcW w:w="856" w:type="dxa"/>
            <w:tcBorders>
              <w:top w:val="single" w:sz="4" w:space="0" w:color="auto"/>
              <w:left w:val="single" w:sz="4" w:space="0" w:color="auto"/>
              <w:bottom w:val="nil"/>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Kode</w:t>
            </w:r>
          </w:p>
        </w:tc>
        <w:tc>
          <w:tcPr>
            <w:tcW w:w="1299" w:type="dxa"/>
            <w:tcBorders>
              <w:top w:val="single" w:sz="4" w:space="0" w:color="auto"/>
              <w:left w:val="nil"/>
              <w:bottom w:val="nil"/>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Item Data</w:t>
            </w:r>
          </w:p>
        </w:tc>
        <w:tc>
          <w:tcPr>
            <w:tcW w:w="1262" w:type="dxa"/>
            <w:tcBorders>
              <w:top w:val="nil"/>
              <w:left w:val="nil"/>
              <w:bottom w:val="nil"/>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Data</w:t>
            </w:r>
          </w:p>
        </w:tc>
        <w:tc>
          <w:tcPr>
            <w:tcW w:w="5816" w:type="dxa"/>
            <w:tcBorders>
              <w:top w:val="nil"/>
              <w:left w:val="nil"/>
              <w:bottom w:val="nil"/>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Dokumen Hukum dan Kebijakan</w:t>
            </w:r>
          </w:p>
        </w:tc>
        <w:tc>
          <w:tcPr>
            <w:tcW w:w="1652" w:type="dxa"/>
            <w:tcBorders>
              <w:top w:val="nil"/>
              <w:left w:val="nil"/>
              <w:bottom w:val="nil"/>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Kategori Data</w:t>
            </w:r>
          </w:p>
        </w:tc>
      </w:tr>
      <w:tr w:rsidR="00B038D6" w:rsidRPr="00B038D6" w:rsidTr="00B038D6">
        <w:trPr>
          <w:trHeight w:val="120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AId1</w:t>
            </w:r>
          </w:p>
        </w:tc>
        <w:tc>
          <w:tcPr>
            <w:tcW w:w="1299"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Mekanisme pengaduan (termasuk ketentuan tenggat waktu &amp; tindakan yang diambil)</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600"/>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AId2</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Mekanisme resolusi konflik</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900"/>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AId3</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Keahlian &amp; pemahaman mediator tentang isu-isu masyarakat adat/lokal</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300"/>
        </w:trPr>
        <w:tc>
          <w:tcPr>
            <w:tcW w:w="85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99"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6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581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65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jc w:val="center"/>
              <w:rPr>
                <w:rFonts w:ascii="Calibri" w:eastAsia="Times New Roman" w:hAnsi="Calibri" w:cs="Times New Roman"/>
                <w:color w:val="000000"/>
                <w:lang w:eastAsia="id-ID"/>
              </w:rPr>
            </w:pPr>
          </w:p>
        </w:tc>
      </w:tr>
      <w:tr w:rsidR="00B038D6" w:rsidRPr="00B038D6" w:rsidTr="00B038D6">
        <w:trPr>
          <w:trHeight w:val="330"/>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lastRenderedPageBreak/>
              <w:t>Isu dalam PGA REDD+</w:t>
            </w:r>
          </w:p>
        </w:tc>
        <w:tc>
          <w:tcPr>
            <w:tcW w:w="7078"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II.Pengaturan Hak</w:t>
            </w:r>
          </w:p>
        </w:tc>
        <w:tc>
          <w:tcPr>
            <w:tcW w:w="165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p>
        </w:tc>
      </w:tr>
      <w:tr w:rsidR="00B038D6" w:rsidRPr="00B038D6" w:rsidTr="00B038D6">
        <w:trPr>
          <w:trHeight w:val="690"/>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Indikator</w:t>
            </w:r>
          </w:p>
        </w:tc>
        <w:tc>
          <w:tcPr>
            <w:tcW w:w="8730" w:type="dxa"/>
            <w:gridSpan w:val="3"/>
            <w:tcBorders>
              <w:top w:val="nil"/>
              <w:left w:val="nil"/>
              <w:bottom w:val="nil"/>
              <w:right w:val="nil"/>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a. Keberadaan dan komprehensiveness aturan yang mengatur transparansi penetapan hak kelola hutan bagi masyarakat adat/lokal dan bisnis</w:t>
            </w:r>
          </w:p>
        </w:tc>
      </w:tr>
      <w:tr w:rsidR="00B038D6" w:rsidRPr="00B038D6" w:rsidTr="00B038D6">
        <w:trPr>
          <w:trHeight w:val="630"/>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Data</w:t>
            </w:r>
          </w:p>
        </w:tc>
        <w:tc>
          <w:tcPr>
            <w:tcW w:w="8730" w:type="dxa"/>
            <w:gridSpan w:val="3"/>
            <w:tcBorders>
              <w:top w:val="nil"/>
              <w:left w:val="nil"/>
              <w:bottom w:val="single" w:sz="4" w:space="0" w:color="auto"/>
              <w:right w:val="nil"/>
            </w:tcBorders>
            <w:shd w:val="clear" w:color="auto" w:fill="auto"/>
            <w:vAlign w:val="center"/>
            <w:hideMark/>
          </w:tcPr>
          <w:p w:rsidR="00B038D6" w:rsidRPr="00B038D6" w:rsidRDefault="00B038D6" w:rsidP="00B038D6">
            <w:pPr>
              <w:spacing w:after="24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Sumber (Undang2 keterbukaan informasi publik, PP, permenhut ttg pemberian ijin, pergub/bup (terkait kehutanan), Permenhut 7/2011</w:t>
            </w:r>
            <w:r w:rsidRPr="00B038D6">
              <w:rPr>
                <w:rFonts w:ascii="Times New Roman" w:eastAsia="Times New Roman" w:hAnsi="Times New Roman" w:cs="Times New Roman"/>
                <w:b/>
                <w:bCs/>
                <w:color w:val="000000"/>
                <w:lang w:eastAsia="id-ID"/>
              </w:rPr>
              <w:br/>
            </w:r>
          </w:p>
        </w:tc>
      </w:tr>
      <w:tr w:rsidR="00B038D6" w:rsidRPr="00B038D6" w:rsidTr="00B038D6">
        <w:trPr>
          <w:trHeight w:val="30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Kode</w:t>
            </w:r>
          </w:p>
        </w:tc>
        <w:tc>
          <w:tcPr>
            <w:tcW w:w="1299"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Item Data</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Data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Dokumen Hukum dan Kebijakan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Kategori Data</w:t>
            </w:r>
          </w:p>
        </w:tc>
      </w:tr>
      <w:tr w:rsidR="00B038D6" w:rsidRPr="00B038D6" w:rsidTr="00B038D6">
        <w:trPr>
          <w:trHeight w:val="9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AIIa1</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Ketersediaan seluruh informasi secara sistematis sehingga mudah diakses</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9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AIIa2</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Kewajiban memiliki petugas khusus yang menangani permintaan informasi</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12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AIIa3</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Kewajiban pemberian akses bagi publik baik secara proaktif maupun berdasarkan permintaan</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15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AIIa4</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Informasi yang diumumkan tentang rencana kegiatan/proyek yang disertai dengan dokumen pendukungnya</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15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AIIa5</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Batasan atas informasi yg dapat diakses diatur dengan jelas dan didasarkan pada kepentingan publik (balancing public interest test)</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9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AIIa6</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Sanksi bagi pihak-pihak yang sengaja menghambat akses publik atas informasi</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300"/>
        </w:trPr>
        <w:tc>
          <w:tcPr>
            <w:tcW w:w="85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99"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6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581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65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jc w:val="center"/>
              <w:rPr>
                <w:rFonts w:ascii="Calibri" w:eastAsia="Times New Roman" w:hAnsi="Calibri" w:cs="Times New Roman"/>
                <w:color w:val="000000"/>
                <w:lang w:eastAsia="id-ID"/>
              </w:rPr>
            </w:pPr>
          </w:p>
        </w:tc>
      </w:tr>
      <w:tr w:rsidR="00B038D6" w:rsidRPr="00B038D6" w:rsidTr="00B038D6">
        <w:trPr>
          <w:trHeight w:val="900"/>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Indikator</w:t>
            </w:r>
          </w:p>
        </w:tc>
        <w:tc>
          <w:tcPr>
            <w:tcW w:w="8730" w:type="dxa"/>
            <w:gridSpan w:val="3"/>
            <w:tcBorders>
              <w:top w:val="nil"/>
              <w:left w:val="nil"/>
              <w:bottom w:val="nil"/>
              <w:right w:val="nil"/>
            </w:tcBorders>
            <w:shd w:val="clear" w:color="auto" w:fill="auto"/>
            <w:vAlign w:val="center"/>
            <w:hideMark/>
          </w:tcPr>
          <w:p w:rsidR="00B038D6" w:rsidRPr="00B038D6" w:rsidRDefault="00B038D6" w:rsidP="00B038D6">
            <w:pPr>
              <w:spacing w:after="24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b. Keberadaan dan komprehensiveness aturan yang mengatur pengakuan atas hak kelola hutan yang dimiliki oleh masyarakat adat, masyarakat lokal dan bisnis  terhadap hutan</w:t>
            </w:r>
          </w:p>
        </w:tc>
      </w:tr>
      <w:tr w:rsidR="00B038D6" w:rsidRPr="00B038D6" w:rsidTr="00B038D6">
        <w:trPr>
          <w:trHeight w:val="390"/>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Data</w:t>
            </w:r>
          </w:p>
        </w:tc>
        <w:tc>
          <w:tcPr>
            <w:tcW w:w="8730" w:type="dxa"/>
            <w:gridSpan w:val="3"/>
            <w:tcBorders>
              <w:top w:val="nil"/>
              <w:left w:val="nil"/>
              <w:bottom w:val="single" w:sz="4" w:space="0" w:color="auto"/>
              <w:right w:val="nil"/>
            </w:tcBorders>
            <w:shd w:val="clear" w:color="auto" w:fill="auto"/>
            <w:vAlign w:val="center"/>
            <w:hideMark/>
          </w:tcPr>
          <w:p w:rsidR="00B038D6" w:rsidRPr="00B038D6" w:rsidRDefault="00B038D6" w:rsidP="00B038D6">
            <w:pPr>
              <w:spacing w:after="24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UU, Permenhut, Perda</w:t>
            </w:r>
            <w:r w:rsidRPr="00B038D6">
              <w:rPr>
                <w:rFonts w:ascii="Times New Roman" w:eastAsia="Times New Roman" w:hAnsi="Times New Roman" w:cs="Times New Roman"/>
                <w:b/>
                <w:bCs/>
                <w:color w:val="000000"/>
                <w:lang w:eastAsia="id-ID"/>
              </w:rPr>
              <w:br/>
            </w:r>
          </w:p>
        </w:tc>
      </w:tr>
      <w:tr w:rsidR="00B038D6" w:rsidRPr="00B038D6" w:rsidTr="00B038D6">
        <w:trPr>
          <w:trHeight w:val="30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Kode</w:t>
            </w:r>
          </w:p>
        </w:tc>
        <w:tc>
          <w:tcPr>
            <w:tcW w:w="1299"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Item Data</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Data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Dokumen Hukum dan Kebijakan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Kategori Data</w:t>
            </w:r>
          </w:p>
        </w:tc>
      </w:tr>
      <w:tr w:rsidR="00B038D6" w:rsidRPr="00B038D6" w:rsidTr="00B038D6">
        <w:trPr>
          <w:trHeight w:val="12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AIIb1</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Pengakuan atas pengelolaan wilayah adat/lokal (sejalan dengan struktur dan pola yang ada)</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6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AIIb2</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Mekanisme mendapatkan izin pengelolaan</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6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AIIb3</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Keuntungan bagi masyarakat Adat/Lokal</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300"/>
        </w:trPr>
        <w:tc>
          <w:tcPr>
            <w:tcW w:w="85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99"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6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581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65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jc w:val="center"/>
              <w:rPr>
                <w:rFonts w:ascii="Calibri" w:eastAsia="Times New Roman" w:hAnsi="Calibri" w:cs="Times New Roman"/>
                <w:color w:val="000000"/>
                <w:lang w:eastAsia="id-ID"/>
              </w:rPr>
            </w:pPr>
          </w:p>
        </w:tc>
      </w:tr>
      <w:tr w:rsidR="00B038D6" w:rsidRPr="00B038D6" w:rsidTr="00B038D6">
        <w:trPr>
          <w:trHeight w:val="900"/>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Indikator</w:t>
            </w:r>
          </w:p>
        </w:tc>
        <w:tc>
          <w:tcPr>
            <w:tcW w:w="8730" w:type="dxa"/>
            <w:gridSpan w:val="3"/>
            <w:tcBorders>
              <w:top w:val="nil"/>
              <w:left w:val="nil"/>
              <w:bottom w:val="nil"/>
              <w:right w:val="nil"/>
            </w:tcBorders>
            <w:shd w:val="clear" w:color="auto" w:fill="auto"/>
            <w:vAlign w:val="center"/>
            <w:hideMark/>
          </w:tcPr>
          <w:p w:rsidR="00B038D6" w:rsidRPr="00B038D6" w:rsidRDefault="00B038D6" w:rsidP="00B038D6">
            <w:pPr>
              <w:spacing w:after="24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c. Keberadaan dan komprehensiveness aturan yang mengatur perlindungan terhadap hak kelola hutan yang telah diberikan kepada masyarakat adat, masyarakat lokal dan bisnis</w:t>
            </w:r>
          </w:p>
        </w:tc>
      </w:tr>
      <w:tr w:rsidR="00B038D6" w:rsidRPr="00B038D6" w:rsidTr="00B038D6">
        <w:trPr>
          <w:trHeight w:val="390"/>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Data</w:t>
            </w:r>
          </w:p>
        </w:tc>
        <w:tc>
          <w:tcPr>
            <w:tcW w:w="8730" w:type="dxa"/>
            <w:gridSpan w:val="3"/>
            <w:tcBorders>
              <w:top w:val="nil"/>
              <w:left w:val="nil"/>
              <w:bottom w:val="single" w:sz="4" w:space="0" w:color="auto"/>
              <w:right w:val="nil"/>
            </w:tcBorders>
            <w:shd w:val="clear" w:color="auto" w:fill="auto"/>
            <w:vAlign w:val="center"/>
            <w:hideMark/>
          </w:tcPr>
          <w:p w:rsidR="00B038D6" w:rsidRPr="00B038D6" w:rsidRDefault="00B038D6" w:rsidP="00B038D6">
            <w:pPr>
              <w:spacing w:after="24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UU, Permenhut, Perda</w:t>
            </w:r>
            <w:r w:rsidRPr="00B038D6">
              <w:rPr>
                <w:rFonts w:ascii="Times New Roman" w:eastAsia="Times New Roman" w:hAnsi="Times New Roman" w:cs="Times New Roman"/>
                <w:b/>
                <w:bCs/>
                <w:color w:val="000000"/>
                <w:lang w:eastAsia="id-ID"/>
              </w:rPr>
              <w:br/>
            </w:r>
          </w:p>
        </w:tc>
      </w:tr>
      <w:tr w:rsidR="00B038D6" w:rsidRPr="00B038D6" w:rsidTr="00B038D6">
        <w:trPr>
          <w:trHeight w:val="30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Kode</w:t>
            </w:r>
          </w:p>
        </w:tc>
        <w:tc>
          <w:tcPr>
            <w:tcW w:w="1299"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Item Data</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Data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Dokumen Hukum dan Kebijakan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Kategori Data</w:t>
            </w:r>
          </w:p>
        </w:tc>
      </w:tr>
      <w:tr w:rsidR="00B038D6" w:rsidRPr="00B038D6" w:rsidTr="00B038D6">
        <w:trPr>
          <w:trHeight w:val="1215"/>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AIIc1</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Sanksi/ancaman hukum bagi yang melakukan perambahan (di atas lahan bebas konflik)</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Aturan terkait dengan pemberian sanksi perambahan hutan mengacu kepada Undang-undang RI No. 41 Tahun 1999  tentang kehutanan pasal 50.</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1635"/>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AIIc2</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Sanksi/ancaman hukum bagi pejabat pemberi izin (di atas lahan yang telah memiliki hak)</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9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AIIc3</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Ganti rugi bagi pemegang hak yang dirugikan (mudah &amp; memadai)</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300"/>
        </w:trPr>
        <w:tc>
          <w:tcPr>
            <w:tcW w:w="85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99"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6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581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65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jc w:val="center"/>
              <w:rPr>
                <w:rFonts w:ascii="Calibri" w:eastAsia="Times New Roman" w:hAnsi="Calibri" w:cs="Times New Roman"/>
                <w:color w:val="000000"/>
                <w:lang w:eastAsia="id-ID"/>
              </w:rPr>
            </w:pPr>
          </w:p>
        </w:tc>
      </w:tr>
      <w:tr w:rsidR="00B038D6" w:rsidRPr="00B038D6" w:rsidTr="00B038D6">
        <w:trPr>
          <w:trHeight w:val="900"/>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Indikator</w:t>
            </w:r>
          </w:p>
        </w:tc>
        <w:tc>
          <w:tcPr>
            <w:tcW w:w="8730" w:type="dxa"/>
            <w:gridSpan w:val="3"/>
            <w:tcBorders>
              <w:top w:val="nil"/>
              <w:left w:val="nil"/>
              <w:bottom w:val="nil"/>
              <w:right w:val="nil"/>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d. Keberadaan dan komprehensiveness aturan yang mengatur program peningkatan kapasitas masyarakat untuk mengakses hak pengelolaan hutan</w:t>
            </w:r>
          </w:p>
        </w:tc>
      </w:tr>
      <w:tr w:rsidR="00B038D6" w:rsidRPr="00B038D6" w:rsidTr="00B038D6">
        <w:trPr>
          <w:trHeight w:val="390"/>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lastRenderedPageBreak/>
              <w:t>Sumber Data</w:t>
            </w:r>
          </w:p>
        </w:tc>
        <w:tc>
          <w:tcPr>
            <w:tcW w:w="8730" w:type="dxa"/>
            <w:gridSpan w:val="3"/>
            <w:tcBorders>
              <w:top w:val="nil"/>
              <w:left w:val="nil"/>
              <w:bottom w:val="single" w:sz="4" w:space="0" w:color="auto"/>
              <w:right w:val="nil"/>
            </w:tcBorders>
            <w:shd w:val="clear" w:color="auto" w:fill="auto"/>
            <w:vAlign w:val="center"/>
            <w:hideMark/>
          </w:tcPr>
          <w:p w:rsidR="00B038D6" w:rsidRPr="00B038D6" w:rsidRDefault="00B038D6" w:rsidP="00B038D6">
            <w:pPr>
              <w:spacing w:after="24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UU, Permenhut, Perda</w:t>
            </w:r>
            <w:r w:rsidRPr="00B038D6">
              <w:rPr>
                <w:rFonts w:ascii="Times New Roman" w:eastAsia="Times New Roman" w:hAnsi="Times New Roman" w:cs="Times New Roman"/>
                <w:b/>
                <w:bCs/>
                <w:color w:val="000000"/>
                <w:lang w:eastAsia="id-ID"/>
              </w:rPr>
              <w:br/>
            </w:r>
          </w:p>
        </w:tc>
      </w:tr>
      <w:tr w:rsidR="00B038D6" w:rsidRPr="00B038D6" w:rsidTr="00B038D6">
        <w:trPr>
          <w:trHeight w:val="30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Kode</w:t>
            </w:r>
          </w:p>
        </w:tc>
        <w:tc>
          <w:tcPr>
            <w:tcW w:w="1299"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Item Data</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Data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Dokumen Hukum dan Kebijakan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Kategori Data</w:t>
            </w:r>
          </w:p>
        </w:tc>
      </w:tr>
      <w:tr w:rsidR="00B038D6" w:rsidRPr="00B038D6" w:rsidTr="00B038D6">
        <w:trPr>
          <w:trHeight w:val="12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AIId1</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Program peningkatan kapasitas masyarakat Adat/ Lokal untuk mengakses hak pengelolaan hutan</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9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AIId2</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Program peningkatan kapasitas pemerintah (pada tingkatan) lebih rendah</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12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AIId3</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Mekanisme mengakses anggaran peningkatan kapasitas bagi masyarakat Adat/Lokal</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12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AIId4</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Program peningkatan kapasitas masyarakat dan Pemerintah Daerah secara partisipatif</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300"/>
        </w:trPr>
        <w:tc>
          <w:tcPr>
            <w:tcW w:w="85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99"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6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581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65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jc w:val="center"/>
              <w:rPr>
                <w:rFonts w:ascii="Calibri" w:eastAsia="Times New Roman" w:hAnsi="Calibri" w:cs="Times New Roman"/>
                <w:color w:val="000000"/>
                <w:lang w:eastAsia="id-ID"/>
              </w:rPr>
            </w:pPr>
          </w:p>
        </w:tc>
      </w:tr>
      <w:tr w:rsidR="00B038D6" w:rsidRPr="00B038D6" w:rsidTr="00B038D6">
        <w:trPr>
          <w:trHeight w:val="330"/>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Isu dalam PGA REDD+</w:t>
            </w:r>
          </w:p>
        </w:tc>
        <w:tc>
          <w:tcPr>
            <w:tcW w:w="7078"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III. Pengorganisasian Hutan</w:t>
            </w:r>
          </w:p>
        </w:tc>
        <w:tc>
          <w:tcPr>
            <w:tcW w:w="165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p>
        </w:tc>
      </w:tr>
      <w:tr w:rsidR="00B038D6" w:rsidRPr="00B038D6" w:rsidTr="00B038D6">
        <w:trPr>
          <w:trHeight w:val="900"/>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Indikator</w:t>
            </w:r>
          </w:p>
        </w:tc>
        <w:tc>
          <w:tcPr>
            <w:tcW w:w="8730" w:type="dxa"/>
            <w:gridSpan w:val="3"/>
            <w:tcBorders>
              <w:top w:val="nil"/>
              <w:left w:val="nil"/>
              <w:bottom w:val="nil"/>
              <w:right w:val="nil"/>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xml:space="preserve">: a. Keberadaan dan komprehensiveness aturan yang mengatur akuntablitas institusi pengelolaan hutan dan lahan gambut </w:t>
            </w:r>
          </w:p>
        </w:tc>
      </w:tr>
      <w:tr w:rsidR="00B038D6" w:rsidRPr="00B038D6" w:rsidTr="00B038D6">
        <w:trPr>
          <w:trHeight w:val="390"/>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Data</w:t>
            </w:r>
          </w:p>
        </w:tc>
        <w:tc>
          <w:tcPr>
            <w:tcW w:w="8730" w:type="dxa"/>
            <w:gridSpan w:val="3"/>
            <w:tcBorders>
              <w:top w:val="nil"/>
              <w:left w:val="nil"/>
              <w:bottom w:val="single" w:sz="4" w:space="0" w:color="auto"/>
              <w:right w:val="nil"/>
            </w:tcBorders>
            <w:shd w:val="clear" w:color="auto" w:fill="auto"/>
            <w:vAlign w:val="center"/>
            <w:hideMark/>
          </w:tcPr>
          <w:p w:rsidR="00B038D6" w:rsidRPr="00B038D6" w:rsidRDefault="00B038D6" w:rsidP="00B038D6">
            <w:pPr>
              <w:spacing w:after="24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UU, Permenhut</w:t>
            </w:r>
            <w:r w:rsidRPr="00B038D6">
              <w:rPr>
                <w:rFonts w:ascii="Times New Roman" w:eastAsia="Times New Roman" w:hAnsi="Times New Roman" w:cs="Times New Roman"/>
                <w:b/>
                <w:bCs/>
                <w:color w:val="000000"/>
                <w:lang w:eastAsia="id-ID"/>
              </w:rPr>
              <w:br/>
            </w:r>
          </w:p>
        </w:tc>
      </w:tr>
      <w:tr w:rsidR="00B038D6" w:rsidRPr="00B038D6" w:rsidTr="00B038D6">
        <w:trPr>
          <w:trHeight w:val="30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Kode</w:t>
            </w:r>
          </w:p>
        </w:tc>
        <w:tc>
          <w:tcPr>
            <w:tcW w:w="1299"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Item Data</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Data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Dokumen Hukum dan Kebijakan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Kategori Data</w:t>
            </w:r>
          </w:p>
        </w:tc>
      </w:tr>
      <w:tr w:rsidR="00B038D6" w:rsidRPr="00B038D6" w:rsidTr="00B038D6">
        <w:trPr>
          <w:trHeight w:val="9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AIIIa1</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Kejelasan tugas &amp; wewenang pengelolaan hutan &amp; lahan gambut</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6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AIIIa2</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Transparansi output tahunan dan capaian institusi</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9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AIIIa3</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Anggaran berbasis kinerja (Budget based on performance)</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12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AIIIa4</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Desentralisasi (tugas &amp; wewenang) ke tingkat yang lebih rendah (disertai prinsip transparansi &amp; partisipasi)</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300"/>
        </w:trPr>
        <w:tc>
          <w:tcPr>
            <w:tcW w:w="85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99"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6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581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65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jc w:val="center"/>
              <w:rPr>
                <w:rFonts w:ascii="Calibri" w:eastAsia="Times New Roman" w:hAnsi="Calibri" w:cs="Times New Roman"/>
                <w:color w:val="000000"/>
                <w:lang w:eastAsia="id-ID"/>
              </w:rPr>
            </w:pPr>
          </w:p>
        </w:tc>
      </w:tr>
      <w:tr w:rsidR="00B038D6" w:rsidRPr="00B038D6" w:rsidTr="00B038D6">
        <w:trPr>
          <w:trHeight w:val="900"/>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Indikator</w:t>
            </w:r>
          </w:p>
        </w:tc>
        <w:tc>
          <w:tcPr>
            <w:tcW w:w="8730" w:type="dxa"/>
            <w:gridSpan w:val="3"/>
            <w:tcBorders>
              <w:top w:val="nil"/>
              <w:left w:val="nil"/>
              <w:bottom w:val="nil"/>
              <w:right w:val="nil"/>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xml:space="preserve">: b. Keberadaan dan komprehensiveness aturan yang mengatur harmonisasi hukum dan kebijakan terkait dengan hutan dan lahan gambut </w:t>
            </w:r>
          </w:p>
        </w:tc>
      </w:tr>
      <w:tr w:rsidR="00B038D6" w:rsidRPr="00B038D6" w:rsidTr="00B038D6">
        <w:trPr>
          <w:trHeight w:val="390"/>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Data</w:t>
            </w:r>
          </w:p>
        </w:tc>
        <w:tc>
          <w:tcPr>
            <w:tcW w:w="8730" w:type="dxa"/>
            <w:gridSpan w:val="3"/>
            <w:tcBorders>
              <w:top w:val="nil"/>
              <w:left w:val="nil"/>
              <w:bottom w:val="single" w:sz="4" w:space="0" w:color="auto"/>
              <w:right w:val="nil"/>
            </w:tcBorders>
            <w:shd w:val="clear" w:color="auto" w:fill="auto"/>
            <w:vAlign w:val="center"/>
            <w:hideMark/>
          </w:tcPr>
          <w:p w:rsidR="00B038D6" w:rsidRPr="00B038D6" w:rsidRDefault="00B038D6" w:rsidP="00B038D6">
            <w:pPr>
              <w:spacing w:after="24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:(permenkum-ham) Cek dibiro hukum prov/kab</w:t>
            </w:r>
            <w:r w:rsidRPr="00B038D6">
              <w:rPr>
                <w:rFonts w:ascii="Times New Roman" w:eastAsia="Times New Roman" w:hAnsi="Times New Roman" w:cs="Times New Roman"/>
                <w:b/>
                <w:bCs/>
                <w:color w:val="000000"/>
                <w:lang w:eastAsia="id-ID"/>
              </w:rPr>
              <w:br/>
            </w:r>
          </w:p>
        </w:tc>
      </w:tr>
      <w:tr w:rsidR="00B038D6" w:rsidRPr="00B038D6" w:rsidTr="00B038D6">
        <w:trPr>
          <w:trHeight w:val="30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Kode</w:t>
            </w:r>
          </w:p>
        </w:tc>
        <w:tc>
          <w:tcPr>
            <w:tcW w:w="1299"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Item Data</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Data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Dokumen Hukum dan Kebijakan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Kategori Data</w:t>
            </w:r>
          </w:p>
        </w:tc>
      </w:tr>
      <w:tr w:rsidR="00B038D6" w:rsidRPr="00B038D6" w:rsidTr="00B038D6">
        <w:trPr>
          <w:trHeight w:val="6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lastRenderedPageBreak/>
              <w:t>AIIIb1</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Kejelasan lembaga yang bertanggung jawab</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6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AIIIb2</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Mekanisme harmonisasi aturan sebelum diundangkan</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300"/>
        </w:trPr>
        <w:tc>
          <w:tcPr>
            <w:tcW w:w="85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99"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6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581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65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jc w:val="center"/>
              <w:rPr>
                <w:rFonts w:ascii="Calibri" w:eastAsia="Times New Roman" w:hAnsi="Calibri" w:cs="Times New Roman"/>
                <w:color w:val="000000"/>
                <w:lang w:eastAsia="id-ID"/>
              </w:rPr>
            </w:pPr>
          </w:p>
        </w:tc>
      </w:tr>
      <w:tr w:rsidR="00B038D6" w:rsidRPr="00B038D6" w:rsidTr="00B038D6">
        <w:trPr>
          <w:trHeight w:val="900"/>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Indikator</w:t>
            </w:r>
          </w:p>
        </w:tc>
        <w:tc>
          <w:tcPr>
            <w:tcW w:w="8730" w:type="dxa"/>
            <w:gridSpan w:val="3"/>
            <w:tcBorders>
              <w:top w:val="nil"/>
              <w:left w:val="nil"/>
              <w:bottom w:val="nil"/>
              <w:right w:val="nil"/>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xml:space="preserve">: c. Keberadaan dan komprehensiveness aturan yang mengatur pertimbangan integritas dan keahlian dalam posisi strategis di institusi yang bertanggungjawab terhadap kehutanan dan lahan gambut </w:t>
            </w:r>
          </w:p>
        </w:tc>
      </w:tr>
      <w:tr w:rsidR="00B038D6" w:rsidRPr="00B038D6" w:rsidTr="00B038D6">
        <w:trPr>
          <w:trHeight w:val="390"/>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Data</w:t>
            </w:r>
          </w:p>
        </w:tc>
        <w:tc>
          <w:tcPr>
            <w:tcW w:w="8730" w:type="dxa"/>
            <w:gridSpan w:val="3"/>
            <w:tcBorders>
              <w:top w:val="nil"/>
              <w:left w:val="nil"/>
              <w:bottom w:val="single" w:sz="4" w:space="0" w:color="auto"/>
              <w:right w:val="nil"/>
            </w:tcBorders>
            <w:shd w:val="clear" w:color="auto" w:fill="auto"/>
            <w:vAlign w:val="center"/>
            <w:hideMark/>
          </w:tcPr>
          <w:p w:rsidR="00B038D6" w:rsidRPr="00B038D6" w:rsidRDefault="00B038D6" w:rsidP="00B038D6">
            <w:pPr>
              <w:spacing w:after="24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permenpan/SK Gub/Bup/Inpres 5/2004</w:t>
            </w:r>
            <w:r w:rsidRPr="00B038D6">
              <w:rPr>
                <w:rFonts w:ascii="Times New Roman" w:eastAsia="Times New Roman" w:hAnsi="Times New Roman" w:cs="Times New Roman"/>
                <w:b/>
                <w:bCs/>
                <w:color w:val="000000"/>
                <w:lang w:eastAsia="id-ID"/>
              </w:rPr>
              <w:br/>
            </w:r>
          </w:p>
        </w:tc>
      </w:tr>
      <w:tr w:rsidR="00B038D6" w:rsidRPr="00B038D6" w:rsidTr="00B038D6">
        <w:trPr>
          <w:trHeight w:val="30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Kode</w:t>
            </w:r>
          </w:p>
        </w:tc>
        <w:tc>
          <w:tcPr>
            <w:tcW w:w="1299"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Item Data</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Data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Dokumen Hukum dan Kebijakan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Kategori Data</w:t>
            </w:r>
          </w:p>
        </w:tc>
      </w:tr>
      <w:tr w:rsidR="00B038D6" w:rsidRPr="00B038D6" w:rsidTr="00B038D6">
        <w:trPr>
          <w:trHeight w:val="6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AIIIc1</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Keterbukaan proses pengisian posisi strategis</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9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AIIIc2</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Penilaian pihak ketiga (independen) dalam proses pemilihan SDM</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9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AIIIc3</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xml:space="preserve">Life style checking dan kewajaran harta dengan bantuan PPATK </w:t>
            </w:r>
          </w:p>
        </w:tc>
        <w:tc>
          <w:tcPr>
            <w:tcW w:w="126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Inpres 5 Tahun 2004</w:t>
            </w:r>
          </w:p>
        </w:tc>
        <w:tc>
          <w:tcPr>
            <w:tcW w:w="5816"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diatur hanya berdasarkan inpres 5 tahun 2004</w:t>
            </w:r>
          </w:p>
        </w:tc>
        <w:tc>
          <w:tcPr>
            <w:tcW w:w="165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2</w:t>
            </w:r>
          </w:p>
        </w:tc>
      </w:tr>
      <w:tr w:rsidR="00B038D6" w:rsidRPr="00B038D6" w:rsidTr="00B038D6">
        <w:trPr>
          <w:trHeight w:val="9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AIIIc4</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Kewajiban verifikasi LHKPN dengan bantuan KPK</w:t>
            </w:r>
          </w:p>
        </w:tc>
        <w:tc>
          <w:tcPr>
            <w:tcW w:w="126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Inpres 5 Tahun 2004</w:t>
            </w:r>
          </w:p>
        </w:tc>
        <w:tc>
          <w:tcPr>
            <w:tcW w:w="5816"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Diktum 1 dan 2 tentang kewajiban melaporkan harta kekayaan pejabat pemerintah</w:t>
            </w:r>
          </w:p>
        </w:tc>
        <w:tc>
          <w:tcPr>
            <w:tcW w:w="165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2</w:t>
            </w:r>
          </w:p>
        </w:tc>
      </w:tr>
      <w:tr w:rsidR="00B038D6" w:rsidRPr="00B038D6" w:rsidTr="00B038D6">
        <w:trPr>
          <w:trHeight w:val="9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AIIIc5</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Batasan Conflict of Interest &amp; mekanisme yang harus dilakukan</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9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AIIIc6</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Pembuatan pakta integritas, pemenuhan kode etik dan kontrak kinerja</w:t>
            </w:r>
          </w:p>
        </w:tc>
        <w:tc>
          <w:tcPr>
            <w:tcW w:w="126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Inpres 5 Tahun 2004</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pembuatan pakta integritas dilakukan oleh semua pejabat dilingkungan Pemda Tanjabtim berdasarkan Inpres 5 tahun 2004 tentang percepatan pencegahan korupsi</w:t>
            </w:r>
          </w:p>
        </w:tc>
        <w:tc>
          <w:tcPr>
            <w:tcW w:w="165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2</w:t>
            </w:r>
          </w:p>
        </w:tc>
      </w:tr>
      <w:tr w:rsidR="00B038D6" w:rsidRPr="00B038D6" w:rsidTr="00B038D6">
        <w:trPr>
          <w:trHeight w:val="300"/>
        </w:trPr>
        <w:tc>
          <w:tcPr>
            <w:tcW w:w="85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99"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6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581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65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jc w:val="center"/>
              <w:rPr>
                <w:rFonts w:ascii="Calibri" w:eastAsia="Times New Roman" w:hAnsi="Calibri" w:cs="Times New Roman"/>
                <w:color w:val="000000"/>
                <w:lang w:eastAsia="id-ID"/>
              </w:rPr>
            </w:pPr>
          </w:p>
        </w:tc>
      </w:tr>
      <w:tr w:rsidR="00B038D6" w:rsidRPr="00B038D6" w:rsidTr="00B038D6">
        <w:trPr>
          <w:trHeight w:val="900"/>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Indikator</w:t>
            </w:r>
          </w:p>
        </w:tc>
        <w:tc>
          <w:tcPr>
            <w:tcW w:w="8730" w:type="dxa"/>
            <w:gridSpan w:val="3"/>
            <w:tcBorders>
              <w:top w:val="nil"/>
              <w:left w:val="nil"/>
              <w:bottom w:val="nil"/>
              <w:right w:val="nil"/>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d. Keberadaan dan komprehensiveness aturan yang mengatur pelaksanaan penegakan hukum dalam pengelolaan hutan dan lahan gambut di tingkat Nasional/Propinsi/Kab secara efektif dan efisien serta tidak rentan korupsi</w:t>
            </w:r>
          </w:p>
        </w:tc>
      </w:tr>
      <w:tr w:rsidR="00B038D6" w:rsidRPr="00B038D6" w:rsidTr="00B038D6">
        <w:trPr>
          <w:trHeight w:val="630"/>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Data</w:t>
            </w:r>
          </w:p>
        </w:tc>
        <w:tc>
          <w:tcPr>
            <w:tcW w:w="8730" w:type="dxa"/>
            <w:gridSpan w:val="3"/>
            <w:tcBorders>
              <w:top w:val="nil"/>
              <w:left w:val="nil"/>
              <w:bottom w:val="single" w:sz="4" w:space="0" w:color="auto"/>
              <w:right w:val="nil"/>
            </w:tcBorders>
            <w:shd w:val="clear" w:color="auto" w:fill="auto"/>
            <w:vAlign w:val="center"/>
            <w:hideMark/>
          </w:tcPr>
          <w:p w:rsidR="00B038D6" w:rsidRPr="00B038D6" w:rsidRDefault="00B038D6" w:rsidP="00B038D6">
            <w:pPr>
              <w:spacing w:after="24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terkait dengan aturan lain, SK kemenhut/ kejaksaan/Kehakiman/KPK/PPATK, Kemenkeu</w:t>
            </w:r>
            <w:r w:rsidRPr="00B038D6">
              <w:rPr>
                <w:rFonts w:ascii="Times New Roman" w:eastAsia="Times New Roman" w:hAnsi="Times New Roman" w:cs="Times New Roman"/>
                <w:b/>
                <w:bCs/>
                <w:color w:val="000000"/>
                <w:lang w:eastAsia="id-ID"/>
              </w:rPr>
              <w:br/>
            </w:r>
          </w:p>
        </w:tc>
      </w:tr>
      <w:tr w:rsidR="00B038D6" w:rsidRPr="00B038D6" w:rsidTr="00B038D6">
        <w:trPr>
          <w:trHeight w:val="30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Kode</w:t>
            </w:r>
          </w:p>
        </w:tc>
        <w:tc>
          <w:tcPr>
            <w:tcW w:w="1299"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Item Data</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Data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Dokumen Hukum dan Kebijakan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Kategori Data</w:t>
            </w:r>
          </w:p>
        </w:tc>
      </w:tr>
      <w:tr w:rsidR="00B038D6" w:rsidRPr="00B038D6" w:rsidTr="00B038D6">
        <w:trPr>
          <w:trHeight w:val="9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AIIId1</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Pembenahan case manage-ment sehingga menutup celah-celah abuse of power</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9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AIIId2</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Sistem pengawasan dan pen-disiplinan internal di lembaga penegak hukum</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36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lastRenderedPageBreak/>
              <w:t>AIIId3</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Peningkatan kapasitas aparat penegak hukum terkait isu-isu pengelolaan hutan dan lahan gambut secara lestari, kebijak-an Negara atas masyarakat adat, serta pemanfaatan instru-ment hukum lain seperti pajak, korupsi, dan anti pencucian uang untuk memberantas kejahatan kehutanan (multi-door approach);</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18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AIIId4</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Kewajiban koordinasi yang efektif antara aparat penegak hukum terkait dalam isu hutan dan lahan gambut dan penun-jukan leading sector yang jelas</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9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AIIId5</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Pemenuhan rasio jumlah penegak hukum di bidang kehutanan dan lahan gambut</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9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AIIId6</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Mekanisme insentif dan disinsentif untuk mencapai penaatan</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300"/>
        </w:trPr>
        <w:tc>
          <w:tcPr>
            <w:tcW w:w="85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99"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6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581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65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jc w:val="center"/>
              <w:rPr>
                <w:rFonts w:ascii="Calibri" w:eastAsia="Times New Roman" w:hAnsi="Calibri" w:cs="Times New Roman"/>
                <w:color w:val="000000"/>
                <w:lang w:eastAsia="id-ID"/>
              </w:rPr>
            </w:pPr>
          </w:p>
        </w:tc>
      </w:tr>
      <w:tr w:rsidR="00B038D6" w:rsidRPr="00B038D6" w:rsidTr="00B038D6">
        <w:trPr>
          <w:trHeight w:val="330"/>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Isu dalam PGA REDD+</w:t>
            </w:r>
          </w:p>
        </w:tc>
        <w:tc>
          <w:tcPr>
            <w:tcW w:w="7078"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IV. Pengelolaan Hutan</w:t>
            </w:r>
          </w:p>
        </w:tc>
        <w:tc>
          <w:tcPr>
            <w:tcW w:w="165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p>
        </w:tc>
      </w:tr>
      <w:tr w:rsidR="00B038D6" w:rsidRPr="00B038D6" w:rsidTr="00B038D6">
        <w:trPr>
          <w:trHeight w:val="900"/>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Indikator</w:t>
            </w:r>
          </w:p>
        </w:tc>
        <w:tc>
          <w:tcPr>
            <w:tcW w:w="8730" w:type="dxa"/>
            <w:gridSpan w:val="3"/>
            <w:tcBorders>
              <w:top w:val="nil"/>
              <w:left w:val="nil"/>
              <w:bottom w:val="nil"/>
              <w:right w:val="nil"/>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xml:space="preserve">: a. Keberadaan dan komprehensiveness aturan yang mengatur kewajiban penyusunan rencana pengelolaan hutan secara berkeadilan dan obyektif </w:t>
            </w:r>
          </w:p>
        </w:tc>
      </w:tr>
      <w:tr w:rsidR="00B038D6" w:rsidRPr="00B038D6" w:rsidTr="00B038D6">
        <w:trPr>
          <w:trHeight w:val="30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Kode</w:t>
            </w:r>
          </w:p>
        </w:tc>
        <w:tc>
          <w:tcPr>
            <w:tcW w:w="1299"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Item Data</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Data</w:t>
            </w:r>
          </w:p>
        </w:tc>
        <w:tc>
          <w:tcPr>
            <w:tcW w:w="5816"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Dokumen Hukum dan Kebijakan</w:t>
            </w:r>
          </w:p>
        </w:tc>
        <w:tc>
          <w:tcPr>
            <w:tcW w:w="1652"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Kategori Data</w:t>
            </w:r>
          </w:p>
        </w:tc>
      </w:tr>
      <w:tr w:rsidR="00B038D6" w:rsidRPr="00B038D6" w:rsidTr="00B038D6">
        <w:trPr>
          <w:trHeight w:val="3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AIVa1</w:t>
            </w:r>
          </w:p>
        </w:tc>
        <w:tc>
          <w:tcPr>
            <w:tcW w:w="1299" w:type="dxa"/>
            <w:vMerge w:val="restart"/>
            <w:tcBorders>
              <w:top w:val="nil"/>
              <w:left w:val="single" w:sz="4" w:space="0" w:color="auto"/>
              <w:bottom w:val="single" w:sz="4" w:space="0" w:color="000000"/>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FF0000"/>
                <w:lang w:eastAsia="id-ID"/>
              </w:rPr>
            </w:pPr>
            <w:r w:rsidRPr="00B038D6">
              <w:rPr>
                <w:rFonts w:ascii="Times New Roman" w:eastAsia="Times New Roman" w:hAnsi="Times New Roman" w:cs="Times New Roman"/>
                <w:color w:val="FF0000"/>
                <w:lang w:eastAsia="id-ID"/>
              </w:rPr>
              <w:t>Tidak ada item data dari sumber awal</w:t>
            </w:r>
          </w:p>
        </w:tc>
        <w:tc>
          <w:tcPr>
            <w:tcW w:w="1262" w:type="dxa"/>
            <w:tcBorders>
              <w:top w:val="nil"/>
              <w:left w:val="nil"/>
              <w:bottom w:val="single" w:sz="4" w:space="0" w:color="auto"/>
              <w:right w:val="single" w:sz="4" w:space="0" w:color="auto"/>
            </w:tcBorders>
            <w:shd w:val="clear" w:color="000000" w:fill="FFFF00"/>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w:t>
            </w:r>
          </w:p>
        </w:tc>
        <w:tc>
          <w:tcPr>
            <w:tcW w:w="5816" w:type="dxa"/>
            <w:tcBorders>
              <w:top w:val="nil"/>
              <w:left w:val="nil"/>
              <w:bottom w:val="single" w:sz="4" w:space="0" w:color="auto"/>
              <w:right w:val="single" w:sz="4" w:space="0" w:color="auto"/>
            </w:tcBorders>
            <w:shd w:val="clear" w:color="000000" w:fill="FFFF00"/>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w:t>
            </w:r>
          </w:p>
        </w:tc>
        <w:tc>
          <w:tcPr>
            <w:tcW w:w="1652" w:type="dxa"/>
            <w:tcBorders>
              <w:top w:val="nil"/>
              <w:left w:val="nil"/>
              <w:bottom w:val="single" w:sz="4" w:space="0" w:color="auto"/>
              <w:right w:val="single" w:sz="4" w:space="0" w:color="auto"/>
            </w:tcBorders>
            <w:shd w:val="clear" w:color="000000" w:fill="FFFF00"/>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w:t>
            </w:r>
          </w:p>
        </w:tc>
      </w:tr>
      <w:tr w:rsidR="00B038D6" w:rsidRPr="00B038D6" w:rsidTr="00B038D6">
        <w:trPr>
          <w:trHeight w:val="3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AIVa2</w:t>
            </w:r>
          </w:p>
        </w:tc>
        <w:tc>
          <w:tcPr>
            <w:tcW w:w="1299" w:type="dxa"/>
            <w:vMerge/>
            <w:tcBorders>
              <w:top w:val="nil"/>
              <w:left w:val="single" w:sz="4" w:space="0" w:color="auto"/>
              <w:bottom w:val="single" w:sz="4" w:space="0" w:color="000000"/>
              <w:right w:val="single" w:sz="4" w:space="0" w:color="auto"/>
            </w:tcBorders>
            <w:vAlign w:val="center"/>
            <w:hideMark/>
          </w:tcPr>
          <w:p w:rsidR="00B038D6" w:rsidRPr="00B038D6" w:rsidRDefault="00B038D6" w:rsidP="00B038D6">
            <w:pPr>
              <w:spacing w:after="0" w:line="240" w:lineRule="auto"/>
              <w:rPr>
                <w:rFonts w:ascii="Times New Roman" w:eastAsia="Times New Roman" w:hAnsi="Times New Roman" w:cs="Times New Roman"/>
                <w:color w:val="FF0000"/>
                <w:lang w:eastAsia="id-ID"/>
              </w:rPr>
            </w:pPr>
          </w:p>
        </w:tc>
        <w:tc>
          <w:tcPr>
            <w:tcW w:w="1262" w:type="dxa"/>
            <w:tcBorders>
              <w:top w:val="nil"/>
              <w:left w:val="nil"/>
              <w:bottom w:val="single" w:sz="4" w:space="0" w:color="auto"/>
              <w:right w:val="single" w:sz="4" w:space="0" w:color="auto"/>
            </w:tcBorders>
            <w:shd w:val="clear" w:color="000000" w:fill="FFFF00"/>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w:t>
            </w:r>
          </w:p>
        </w:tc>
        <w:tc>
          <w:tcPr>
            <w:tcW w:w="5816" w:type="dxa"/>
            <w:tcBorders>
              <w:top w:val="nil"/>
              <w:left w:val="nil"/>
              <w:bottom w:val="single" w:sz="4" w:space="0" w:color="auto"/>
              <w:right w:val="single" w:sz="4" w:space="0" w:color="auto"/>
            </w:tcBorders>
            <w:shd w:val="clear" w:color="000000" w:fill="FFFF00"/>
            <w:noWrap/>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w:t>
            </w:r>
          </w:p>
        </w:tc>
        <w:tc>
          <w:tcPr>
            <w:tcW w:w="1652" w:type="dxa"/>
            <w:tcBorders>
              <w:top w:val="nil"/>
              <w:left w:val="nil"/>
              <w:bottom w:val="single" w:sz="4" w:space="0" w:color="auto"/>
              <w:right w:val="single" w:sz="4" w:space="0" w:color="auto"/>
            </w:tcBorders>
            <w:shd w:val="clear" w:color="000000" w:fill="FFFF00"/>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w:t>
            </w:r>
          </w:p>
        </w:tc>
      </w:tr>
      <w:tr w:rsidR="00B038D6" w:rsidRPr="00B038D6" w:rsidTr="00B038D6">
        <w:trPr>
          <w:trHeight w:val="900"/>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Indikator</w:t>
            </w:r>
          </w:p>
        </w:tc>
        <w:tc>
          <w:tcPr>
            <w:tcW w:w="8730" w:type="dxa"/>
            <w:gridSpan w:val="3"/>
            <w:tcBorders>
              <w:top w:val="nil"/>
              <w:left w:val="nil"/>
              <w:bottom w:val="nil"/>
              <w:right w:val="nil"/>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b. Keberadaan dan komprehensiveness aturan yang mengatur transparansi pengelolaan hutan dan lahan gambut</w:t>
            </w:r>
          </w:p>
        </w:tc>
      </w:tr>
      <w:tr w:rsidR="00B038D6" w:rsidRPr="00B038D6" w:rsidTr="00B038D6">
        <w:trPr>
          <w:trHeight w:val="390"/>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Data</w:t>
            </w:r>
          </w:p>
        </w:tc>
        <w:tc>
          <w:tcPr>
            <w:tcW w:w="8730" w:type="dxa"/>
            <w:gridSpan w:val="3"/>
            <w:tcBorders>
              <w:top w:val="nil"/>
              <w:left w:val="nil"/>
              <w:bottom w:val="single" w:sz="4" w:space="0" w:color="auto"/>
              <w:right w:val="nil"/>
            </w:tcBorders>
            <w:shd w:val="clear" w:color="auto" w:fill="auto"/>
            <w:vAlign w:val="center"/>
            <w:hideMark/>
          </w:tcPr>
          <w:p w:rsidR="00B038D6" w:rsidRPr="00B038D6" w:rsidRDefault="00B038D6" w:rsidP="00B038D6">
            <w:pPr>
              <w:spacing w:after="24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SK Menhut/pertanian/ SK/perda-Gub/Bup</w:t>
            </w:r>
          </w:p>
        </w:tc>
      </w:tr>
      <w:tr w:rsidR="00B038D6" w:rsidRPr="00B038D6" w:rsidTr="00B038D6">
        <w:trPr>
          <w:trHeight w:val="30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Kode</w:t>
            </w:r>
          </w:p>
        </w:tc>
        <w:tc>
          <w:tcPr>
            <w:tcW w:w="1299"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Item Data</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Data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Dokumen Hukum dan Kebijakan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Kategori Data</w:t>
            </w:r>
          </w:p>
        </w:tc>
      </w:tr>
      <w:tr w:rsidR="00B038D6" w:rsidRPr="00B038D6" w:rsidTr="00B038D6">
        <w:trPr>
          <w:trHeight w:val="18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AIVb1</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Kewajiban menyediakan seluruh informasi dalam kaitannya dengan pengelolaan hutan secara sistematis sehingga mudah diakses</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12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AIVb2</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Mewajibkan agar Badan Publik memiliki petugas khusus yang menangani permintaan informasi</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12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lastRenderedPageBreak/>
              <w:t>AIVb3</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Kewajiban pemberian akses bagi publik baik secara proaktif maupun berdasarkan permintaan</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15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AIVb4</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Terdapat pengumuman informasi tentang rencana kegiatan/proyek yang disertai dengan dokumen pendukungnya</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15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AIVb5</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Batasan atas informasi yg dapat diakses diatur dengan jelas dan didasarkan pada kepentingan publik (balancing public interest test)</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9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AIVb6</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Sanksi bagi pihak-pihak yang sengaja menghambat akses publik atas informasi</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300"/>
        </w:trPr>
        <w:tc>
          <w:tcPr>
            <w:tcW w:w="85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99"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6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581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65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jc w:val="center"/>
              <w:rPr>
                <w:rFonts w:ascii="Calibri" w:eastAsia="Times New Roman" w:hAnsi="Calibri" w:cs="Times New Roman"/>
                <w:color w:val="000000"/>
                <w:lang w:eastAsia="id-ID"/>
              </w:rPr>
            </w:pPr>
          </w:p>
        </w:tc>
      </w:tr>
      <w:tr w:rsidR="00B038D6" w:rsidRPr="00B038D6" w:rsidTr="00B038D6">
        <w:trPr>
          <w:trHeight w:val="900"/>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Indikator</w:t>
            </w:r>
          </w:p>
        </w:tc>
        <w:tc>
          <w:tcPr>
            <w:tcW w:w="8730" w:type="dxa"/>
            <w:gridSpan w:val="3"/>
            <w:tcBorders>
              <w:top w:val="nil"/>
              <w:left w:val="nil"/>
              <w:bottom w:val="nil"/>
              <w:right w:val="nil"/>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xml:space="preserve">: c. Keberadaan dan komprehensiveness aturan yang mengatur keterlibatan pemangku kepentingan dalam pengelolaan hutan dan lahan gambut yang  berarti </w:t>
            </w:r>
          </w:p>
        </w:tc>
      </w:tr>
      <w:tr w:rsidR="00B038D6" w:rsidRPr="00B038D6" w:rsidTr="00B038D6">
        <w:trPr>
          <w:trHeight w:val="390"/>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Data</w:t>
            </w:r>
          </w:p>
        </w:tc>
        <w:tc>
          <w:tcPr>
            <w:tcW w:w="8730" w:type="dxa"/>
            <w:gridSpan w:val="3"/>
            <w:tcBorders>
              <w:top w:val="nil"/>
              <w:left w:val="nil"/>
              <w:bottom w:val="single" w:sz="4" w:space="0" w:color="auto"/>
              <w:right w:val="nil"/>
            </w:tcBorders>
            <w:shd w:val="clear" w:color="auto" w:fill="auto"/>
            <w:vAlign w:val="center"/>
            <w:hideMark/>
          </w:tcPr>
          <w:p w:rsidR="00B038D6" w:rsidRPr="00B038D6" w:rsidRDefault="00B038D6" w:rsidP="00B038D6">
            <w:pPr>
              <w:spacing w:after="24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SK Menhut/Pertanian, SK/Perda-Gub/Bup</w:t>
            </w:r>
          </w:p>
        </w:tc>
      </w:tr>
      <w:tr w:rsidR="00B038D6" w:rsidRPr="00B038D6" w:rsidTr="00B038D6">
        <w:trPr>
          <w:trHeight w:val="30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Kode</w:t>
            </w:r>
          </w:p>
        </w:tc>
        <w:tc>
          <w:tcPr>
            <w:tcW w:w="1299"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Item Data</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Data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Dokumen Hukum dan Kebijakan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Kategori Data</w:t>
            </w:r>
          </w:p>
        </w:tc>
      </w:tr>
      <w:tr w:rsidR="00B038D6" w:rsidRPr="00B038D6" w:rsidTr="00B038D6">
        <w:trPr>
          <w:trHeight w:val="2475"/>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AIVc1</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Informasi rencana pemberian izin/pelaksanaan lelang kepada seluruh pihak yg memiliki hak serta pihak yg berkepentingan</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18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AIVc2</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Mekanisme yang memudahkan bagi seluruh pihak yang berkepentingan untuk dapat terlibat dalam proses pengambilan keputusan</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18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AIVc3</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Penunjukan satu petugas khusus yang bertanggungjawab mengelola masukan publik dalam proses pemberian izin/pelaksanaan lelang</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9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AIVc4</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Dokumentasi setiap masukan baik yang tertulis ataupun tidak</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9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lastRenderedPageBreak/>
              <w:t>AIVc5</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Pemberian respon yang bersifat terbuka atas setiap masukan yang ada</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6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AIVc6</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Pemberian penjelasan atas keputusan akhir yang diambil</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300"/>
        </w:trPr>
        <w:tc>
          <w:tcPr>
            <w:tcW w:w="85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99"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6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581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65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jc w:val="center"/>
              <w:rPr>
                <w:rFonts w:ascii="Calibri" w:eastAsia="Times New Roman" w:hAnsi="Calibri" w:cs="Times New Roman"/>
                <w:color w:val="000000"/>
                <w:lang w:eastAsia="id-ID"/>
              </w:rPr>
            </w:pPr>
          </w:p>
        </w:tc>
      </w:tr>
      <w:tr w:rsidR="00B038D6" w:rsidRPr="00B038D6" w:rsidTr="00B038D6">
        <w:trPr>
          <w:trHeight w:val="900"/>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Indikator</w:t>
            </w:r>
          </w:p>
        </w:tc>
        <w:tc>
          <w:tcPr>
            <w:tcW w:w="8730" w:type="dxa"/>
            <w:gridSpan w:val="3"/>
            <w:tcBorders>
              <w:top w:val="nil"/>
              <w:left w:val="nil"/>
              <w:bottom w:val="nil"/>
              <w:right w:val="nil"/>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d. Keberadaan dan komprehensiveness aturan yang mengatur mekanisme pemberian izin pengelolaan hutan yang efisien</w:t>
            </w:r>
          </w:p>
        </w:tc>
      </w:tr>
      <w:tr w:rsidR="00B038D6" w:rsidRPr="00B038D6" w:rsidTr="00B038D6">
        <w:trPr>
          <w:trHeight w:val="30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Kode</w:t>
            </w:r>
          </w:p>
        </w:tc>
        <w:tc>
          <w:tcPr>
            <w:tcW w:w="1299"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Item Data</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Data</w:t>
            </w:r>
          </w:p>
        </w:tc>
        <w:tc>
          <w:tcPr>
            <w:tcW w:w="5816"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Dokumen Hukum dan Kebijakan</w:t>
            </w:r>
          </w:p>
        </w:tc>
        <w:tc>
          <w:tcPr>
            <w:tcW w:w="1652"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Kategori Data</w:t>
            </w:r>
          </w:p>
        </w:tc>
      </w:tr>
      <w:tr w:rsidR="00B038D6" w:rsidRPr="00B038D6" w:rsidTr="00B038D6">
        <w:trPr>
          <w:trHeight w:val="3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AIVd1</w:t>
            </w:r>
          </w:p>
        </w:tc>
        <w:tc>
          <w:tcPr>
            <w:tcW w:w="1299" w:type="dxa"/>
            <w:vMerge w:val="restart"/>
            <w:tcBorders>
              <w:top w:val="nil"/>
              <w:left w:val="single" w:sz="4" w:space="0" w:color="auto"/>
              <w:bottom w:val="single" w:sz="4" w:space="0" w:color="000000"/>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FF0000"/>
                <w:lang w:eastAsia="id-ID"/>
              </w:rPr>
            </w:pPr>
            <w:r w:rsidRPr="00B038D6">
              <w:rPr>
                <w:rFonts w:ascii="Times New Roman" w:eastAsia="Times New Roman" w:hAnsi="Times New Roman" w:cs="Times New Roman"/>
                <w:color w:val="FF0000"/>
                <w:lang w:eastAsia="id-ID"/>
              </w:rPr>
              <w:t>Tidak ada item data dari sumber awal</w:t>
            </w:r>
          </w:p>
        </w:tc>
        <w:tc>
          <w:tcPr>
            <w:tcW w:w="1262" w:type="dxa"/>
            <w:tcBorders>
              <w:top w:val="nil"/>
              <w:left w:val="nil"/>
              <w:bottom w:val="single" w:sz="4" w:space="0" w:color="auto"/>
              <w:right w:val="single" w:sz="4" w:space="0" w:color="auto"/>
            </w:tcBorders>
            <w:shd w:val="clear" w:color="000000" w:fill="FFFF00"/>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w:t>
            </w:r>
          </w:p>
        </w:tc>
        <w:tc>
          <w:tcPr>
            <w:tcW w:w="5816" w:type="dxa"/>
            <w:tcBorders>
              <w:top w:val="nil"/>
              <w:left w:val="nil"/>
              <w:bottom w:val="single" w:sz="4" w:space="0" w:color="auto"/>
              <w:right w:val="single" w:sz="4" w:space="0" w:color="auto"/>
            </w:tcBorders>
            <w:shd w:val="clear" w:color="000000" w:fill="FFFF00"/>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w:t>
            </w:r>
          </w:p>
        </w:tc>
        <w:tc>
          <w:tcPr>
            <w:tcW w:w="1652" w:type="dxa"/>
            <w:tcBorders>
              <w:top w:val="nil"/>
              <w:left w:val="nil"/>
              <w:bottom w:val="single" w:sz="4" w:space="0" w:color="auto"/>
              <w:right w:val="single" w:sz="4" w:space="0" w:color="auto"/>
            </w:tcBorders>
            <w:shd w:val="clear" w:color="000000" w:fill="FFFF00"/>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w:t>
            </w:r>
          </w:p>
        </w:tc>
      </w:tr>
      <w:tr w:rsidR="00B038D6" w:rsidRPr="00B038D6" w:rsidTr="00B038D6">
        <w:trPr>
          <w:trHeight w:val="3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AIVd2</w:t>
            </w:r>
          </w:p>
        </w:tc>
        <w:tc>
          <w:tcPr>
            <w:tcW w:w="1299" w:type="dxa"/>
            <w:vMerge/>
            <w:tcBorders>
              <w:top w:val="nil"/>
              <w:left w:val="single" w:sz="4" w:space="0" w:color="auto"/>
              <w:bottom w:val="single" w:sz="4" w:space="0" w:color="000000"/>
              <w:right w:val="single" w:sz="4" w:space="0" w:color="auto"/>
            </w:tcBorders>
            <w:vAlign w:val="center"/>
            <w:hideMark/>
          </w:tcPr>
          <w:p w:rsidR="00B038D6" w:rsidRPr="00B038D6" w:rsidRDefault="00B038D6" w:rsidP="00B038D6">
            <w:pPr>
              <w:spacing w:after="0" w:line="240" w:lineRule="auto"/>
              <w:rPr>
                <w:rFonts w:ascii="Times New Roman" w:eastAsia="Times New Roman" w:hAnsi="Times New Roman" w:cs="Times New Roman"/>
                <w:color w:val="FF0000"/>
                <w:lang w:eastAsia="id-ID"/>
              </w:rPr>
            </w:pPr>
          </w:p>
        </w:tc>
        <w:tc>
          <w:tcPr>
            <w:tcW w:w="1262" w:type="dxa"/>
            <w:tcBorders>
              <w:top w:val="nil"/>
              <w:left w:val="nil"/>
              <w:bottom w:val="single" w:sz="4" w:space="0" w:color="auto"/>
              <w:right w:val="single" w:sz="4" w:space="0" w:color="auto"/>
            </w:tcBorders>
            <w:shd w:val="clear" w:color="000000" w:fill="FFFF00"/>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w:t>
            </w:r>
          </w:p>
        </w:tc>
        <w:tc>
          <w:tcPr>
            <w:tcW w:w="5816" w:type="dxa"/>
            <w:tcBorders>
              <w:top w:val="nil"/>
              <w:left w:val="nil"/>
              <w:bottom w:val="single" w:sz="4" w:space="0" w:color="auto"/>
              <w:right w:val="single" w:sz="4" w:space="0" w:color="auto"/>
            </w:tcBorders>
            <w:shd w:val="clear" w:color="000000" w:fill="FFFF00"/>
            <w:noWrap/>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w:t>
            </w:r>
          </w:p>
        </w:tc>
        <w:tc>
          <w:tcPr>
            <w:tcW w:w="1652" w:type="dxa"/>
            <w:tcBorders>
              <w:top w:val="nil"/>
              <w:left w:val="nil"/>
              <w:bottom w:val="single" w:sz="4" w:space="0" w:color="auto"/>
              <w:right w:val="single" w:sz="4" w:space="0" w:color="auto"/>
            </w:tcBorders>
            <w:shd w:val="clear" w:color="000000" w:fill="FFFF00"/>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w:t>
            </w:r>
          </w:p>
        </w:tc>
      </w:tr>
      <w:tr w:rsidR="00B038D6" w:rsidRPr="00B038D6" w:rsidTr="00B038D6">
        <w:trPr>
          <w:trHeight w:val="300"/>
        </w:trPr>
        <w:tc>
          <w:tcPr>
            <w:tcW w:w="85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99"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6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581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65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jc w:val="center"/>
              <w:rPr>
                <w:rFonts w:ascii="Calibri" w:eastAsia="Times New Roman" w:hAnsi="Calibri" w:cs="Times New Roman"/>
                <w:color w:val="000000"/>
                <w:lang w:eastAsia="id-ID"/>
              </w:rPr>
            </w:pPr>
          </w:p>
        </w:tc>
      </w:tr>
      <w:tr w:rsidR="00B038D6" w:rsidRPr="00B038D6" w:rsidTr="00B038D6">
        <w:trPr>
          <w:trHeight w:val="690"/>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Indikator</w:t>
            </w:r>
          </w:p>
        </w:tc>
        <w:tc>
          <w:tcPr>
            <w:tcW w:w="8730" w:type="dxa"/>
            <w:gridSpan w:val="3"/>
            <w:tcBorders>
              <w:top w:val="nil"/>
              <w:left w:val="nil"/>
              <w:bottom w:val="nil"/>
              <w:right w:val="nil"/>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e. Keberadaan dan komprehensiveness aturan yang mengatur mekanisme penanganan pengaduan dalam konflik pengelolaan hutan dan lahan gambu</w:t>
            </w:r>
          </w:p>
        </w:tc>
      </w:tr>
      <w:tr w:rsidR="00B038D6" w:rsidRPr="00B038D6" w:rsidTr="00B038D6">
        <w:trPr>
          <w:trHeight w:val="30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Kode</w:t>
            </w:r>
          </w:p>
        </w:tc>
        <w:tc>
          <w:tcPr>
            <w:tcW w:w="1299"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Item Data</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Data</w:t>
            </w:r>
          </w:p>
        </w:tc>
        <w:tc>
          <w:tcPr>
            <w:tcW w:w="5816"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Dokumen Hukum dan Kebijakan</w:t>
            </w:r>
          </w:p>
        </w:tc>
        <w:tc>
          <w:tcPr>
            <w:tcW w:w="1652"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Kategori Data</w:t>
            </w:r>
          </w:p>
        </w:tc>
      </w:tr>
      <w:tr w:rsidR="00B038D6" w:rsidRPr="00B038D6" w:rsidTr="00B038D6">
        <w:trPr>
          <w:trHeight w:val="12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AIVe1</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Mekanisme pengaduan (sederhana, kejelasan tenggat waktu &amp; tindakan yang telah diambil)</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6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AIVe2</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Mekanisme resolusi konflik dan penyelesaian sengketa</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9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AIVe3</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Mediator memiliki keahlian dan pemahaman tentang isu-isu adat/masyarakat lokal</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15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AIVe4</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Mekanisme pengawasan eksternal atas kinerja penegak hukum dalam menindaklanjuti pengaduan masyarakat</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 tidak tersedia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300"/>
        </w:trPr>
        <w:tc>
          <w:tcPr>
            <w:tcW w:w="85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99"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6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581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65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jc w:val="center"/>
              <w:rPr>
                <w:rFonts w:ascii="Calibri" w:eastAsia="Times New Roman" w:hAnsi="Calibri" w:cs="Times New Roman"/>
                <w:color w:val="000000"/>
                <w:lang w:eastAsia="id-ID"/>
              </w:rPr>
            </w:pPr>
          </w:p>
        </w:tc>
      </w:tr>
      <w:tr w:rsidR="00B038D6" w:rsidRPr="00B038D6" w:rsidTr="00B038D6">
        <w:trPr>
          <w:trHeight w:val="330"/>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Isu dalam PGA REDD+</w:t>
            </w:r>
          </w:p>
        </w:tc>
        <w:tc>
          <w:tcPr>
            <w:tcW w:w="7078"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V. Pengorganisasian Hutan</w:t>
            </w:r>
          </w:p>
        </w:tc>
        <w:tc>
          <w:tcPr>
            <w:tcW w:w="165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p>
        </w:tc>
      </w:tr>
      <w:tr w:rsidR="00B038D6" w:rsidRPr="00B038D6" w:rsidTr="00B038D6">
        <w:trPr>
          <w:trHeight w:val="690"/>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Indikator</w:t>
            </w:r>
          </w:p>
        </w:tc>
        <w:tc>
          <w:tcPr>
            <w:tcW w:w="8730" w:type="dxa"/>
            <w:gridSpan w:val="3"/>
            <w:tcBorders>
              <w:top w:val="nil"/>
              <w:left w:val="nil"/>
              <w:bottom w:val="nil"/>
              <w:right w:val="nil"/>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a. Keberadaan dan komprehensiveness aturan yang mengatur transparansi pengendalian dan penegakan hukum dalam pengelolaan hutan</w:t>
            </w:r>
          </w:p>
        </w:tc>
      </w:tr>
      <w:tr w:rsidR="00B038D6" w:rsidRPr="00B038D6" w:rsidTr="00B038D6">
        <w:trPr>
          <w:trHeight w:val="390"/>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Data</w:t>
            </w:r>
          </w:p>
        </w:tc>
        <w:tc>
          <w:tcPr>
            <w:tcW w:w="8730" w:type="dxa"/>
            <w:gridSpan w:val="3"/>
            <w:tcBorders>
              <w:top w:val="nil"/>
              <w:left w:val="nil"/>
              <w:bottom w:val="single" w:sz="4" w:space="0" w:color="auto"/>
              <w:right w:val="nil"/>
            </w:tcBorders>
            <w:shd w:val="clear" w:color="auto" w:fill="auto"/>
            <w:vAlign w:val="center"/>
            <w:hideMark/>
          </w:tcPr>
          <w:p w:rsidR="00B038D6" w:rsidRPr="00B038D6" w:rsidRDefault="00B038D6" w:rsidP="00B038D6">
            <w:pPr>
              <w:spacing w:after="24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SK Menhut/Gub/Bu</w:t>
            </w:r>
            <w:r w:rsidRPr="00B038D6">
              <w:rPr>
                <w:rFonts w:ascii="Times New Roman" w:eastAsia="Times New Roman" w:hAnsi="Times New Roman" w:cs="Times New Roman"/>
                <w:b/>
                <w:bCs/>
                <w:color w:val="000000"/>
                <w:lang w:eastAsia="id-ID"/>
              </w:rPr>
              <w:br/>
            </w:r>
          </w:p>
        </w:tc>
      </w:tr>
      <w:tr w:rsidR="00B038D6" w:rsidRPr="00B038D6" w:rsidTr="00B038D6">
        <w:trPr>
          <w:trHeight w:val="30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Kode</w:t>
            </w:r>
          </w:p>
        </w:tc>
        <w:tc>
          <w:tcPr>
            <w:tcW w:w="1299"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Item Data</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Data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Dokumen Hukum dan Kebijakan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Kategori Data</w:t>
            </w:r>
          </w:p>
        </w:tc>
      </w:tr>
      <w:tr w:rsidR="00B038D6" w:rsidRPr="00B038D6" w:rsidTr="00B038D6">
        <w:trPr>
          <w:trHeight w:val="2265"/>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AVa1</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Ketersediaan seluruh informasi secara sistematis dalam kaitannya dengan pengawasan internal dan eksternal</w:t>
            </w:r>
          </w:p>
        </w:tc>
        <w:tc>
          <w:tcPr>
            <w:tcW w:w="126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xml:space="preserve">dokumen tidak ada </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ditemukan dokumen yang menjelaskan aturan yang dimaksud dalam item pertanyaan. Terikait dengan pengendalian intern di institusi kehutanan seperti dinas kehutanan, mengacu kepada peraturan pemerintah pusat tentang sistem pengendalian internal yang berlaku secara umum, PERATURAN PEMERINTAH REPUBLIK INDONESIA NOMOR 60 TAHUN 2008TENTANG SISTEM PENGENDALIAN INTERN PEMERINTAH</w:t>
            </w:r>
          </w:p>
        </w:tc>
        <w:tc>
          <w:tcPr>
            <w:tcW w:w="165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18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lastRenderedPageBreak/>
              <w:t>AVa2</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Terdapat aturan yang mewajibkan pemberian akses bagi publik baik secara proaktif maupun berdasarkan permintaan dalam tahap pengawasan</w:t>
            </w:r>
          </w:p>
        </w:tc>
        <w:tc>
          <w:tcPr>
            <w:tcW w:w="126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xml:space="preserve">dokumen tidak ada </w:t>
            </w:r>
          </w:p>
        </w:tc>
        <w:tc>
          <w:tcPr>
            <w:tcW w:w="5816"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15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AVa3</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Batasan atas informasi yg dapat diakses diatur dengan jelas dan didasarkan pada kepentingan publik (balancing public interest test)</w:t>
            </w:r>
          </w:p>
        </w:tc>
        <w:tc>
          <w:tcPr>
            <w:tcW w:w="126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xml:space="preserve">dokumen tidak ada </w:t>
            </w:r>
          </w:p>
        </w:tc>
        <w:tc>
          <w:tcPr>
            <w:tcW w:w="5816"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12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AVa4</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Terdapat sanksi bagi pihak-pihak yg sengaja menghambat akses publik atas informasi</w:t>
            </w:r>
          </w:p>
        </w:tc>
        <w:tc>
          <w:tcPr>
            <w:tcW w:w="126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xml:space="preserve">dokumen tidak ada </w:t>
            </w:r>
          </w:p>
        </w:tc>
        <w:tc>
          <w:tcPr>
            <w:tcW w:w="5816"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300"/>
        </w:trPr>
        <w:tc>
          <w:tcPr>
            <w:tcW w:w="85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99"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6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581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65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jc w:val="center"/>
              <w:rPr>
                <w:rFonts w:ascii="Calibri" w:eastAsia="Times New Roman" w:hAnsi="Calibri" w:cs="Times New Roman"/>
                <w:color w:val="000000"/>
                <w:lang w:eastAsia="id-ID"/>
              </w:rPr>
            </w:pPr>
          </w:p>
        </w:tc>
      </w:tr>
      <w:tr w:rsidR="00B038D6" w:rsidRPr="00B038D6" w:rsidTr="00B038D6">
        <w:trPr>
          <w:trHeight w:val="690"/>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Indikator</w:t>
            </w:r>
          </w:p>
        </w:tc>
        <w:tc>
          <w:tcPr>
            <w:tcW w:w="8730" w:type="dxa"/>
            <w:gridSpan w:val="3"/>
            <w:tcBorders>
              <w:top w:val="nil"/>
              <w:left w:val="nil"/>
              <w:bottom w:val="nil"/>
              <w:right w:val="nil"/>
            </w:tcBorders>
            <w:shd w:val="clear" w:color="auto" w:fill="auto"/>
            <w:vAlign w:val="center"/>
            <w:hideMark/>
          </w:tcPr>
          <w:p w:rsidR="00B038D6" w:rsidRPr="00B038D6" w:rsidRDefault="00B038D6" w:rsidP="00B038D6">
            <w:pPr>
              <w:spacing w:after="24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b. Keberadaan dan komprehensiveness aturan yang mengatur pengawasan yang berintegritas dan partisipatif dalam pengelolaan hutan</w:t>
            </w:r>
          </w:p>
        </w:tc>
      </w:tr>
      <w:tr w:rsidR="00B038D6" w:rsidRPr="00B038D6" w:rsidTr="00B038D6">
        <w:trPr>
          <w:trHeight w:val="390"/>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Data</w:t>
            </w:r>
          </w:p>
        </w:tc>
        <w:tc>
          <w:tcPr>
            <w:tcW w:w="8730" w:type="dxa"/>
            <w:gridSpan w:val="3"/>
            <w:tcBorders>
              <w:top w:val="nil"/>
              <w:left w:val="nil"/>
              <w:bottom w:val="single" w:sz="4" w:space="0" w:color="auto"/>
              <w:right w:val="nil"/>
            </w:tcBorders>
            <w:shd w:val="clear" w:color="auto" w:fill="auto"/>
            <w:vAlign w:val="center"/>
            <w:hideMark/>
          </w:tcPr>
          <w:p w:rsidR="00B038D6" w:rsidRPr="00B038D6" w:rsidRDefault="00B038D6" w:rsidP="00B038D6">
            <w:pPr>
              <w:spacing w:after="24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Per/SK menhut/Gub/Bup</w:t>
            </w:r>
          </w:p>
        </w:tc>
      </w:tr>
      <w:tr w:rsidR="00B038D6" w:rsidRPr="00B038D6" w:rsidTr="00B038D6">
        <w:trPr>
          <w:trHeight w:val="30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Kode</w:t>
            </w:r>
          </w:p>
        </w:tc>
        <w:tc>
          <w:tcPr>
            <w:tcW w:w="1299"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Item Data</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Data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Dokumen Hukum dan Kebijakan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Kategori Data</w:t>
            </w:r>
          </w:p>
        </w:tc>
      </w:tr>
      <w:tr w:rsidR="00B038D6" w:rsidRPr="00B038D6" w:rsidTr="00B038D6">
        <w:trPr>
          <w:trHeight w:val="12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AVb1</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Informasi pelaksanaan kegiatan untuk memperjelas masukan publik atas suatu kasus</w:t>
            </w:r>
          </w:p>
        </w:tc>
        <w:tc>
          <w:tcPr>
            <w:tcW w:w="126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xml:space="preserve">dokumen tidak ada </w:t>
            </w:r>
          </w:p>
        </w:tc>
        <w:tc>
          <w:tcPr>
            <w:tcW w:w="5816"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15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AVb2</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Mekanisme penerimaan pengaduan memudahkan bagi seluruh pihak (termasuk competitors) untuk menyampaikan pengaduan</w:t>
            </w:r>
          </w:p>
        </w:tc>
        <w:tc>
          <w:tcPr>
            <w:tcW w:w="126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xml:space="preserve">dokumen tidak ada </w:t>
            </w:r>
          </w:p>
        </w:tc>
        <w:tc>
          <w:tcPr>
            <w:tcW w:w="5816"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9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AVb3</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Dokumentasi setiap laporan pengaduan baik yang tertulis ataupun tidak</w:t>
            </w:r>
          </w:p>
        </w:tc>
        <w:tc>
          <w:tcPr>
            <w:tcW w:w="126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xml:space="preserve">dokumen tidak ada </w:t>
            </w:r>
          </w:p>
        </w:tc>
        <w:tc>
          <w:tcPr>
            <w:tcW w:w="5816"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12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AVb4</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Mekanisme penerimaan pengaduan memiliki jangka waktu yang jelas atas respon yang akan diberikan</w:t>
            </w:r>
          </w:p>
        </w:tc>
        <w:tc>
          <w:tcPr>
            <w:tcW w:w="126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xml:space="preserve">dokumen tidak ada </w:t>
            </w:r>
          </w:p>
        </w:tc>
        <w:tc>
          <w:tcPr>
            <w:tcW w:w="5816"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12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AVb5</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xml:space="preserve">Mekanisme penerimaan pengaduan menawarkan kemudahan dan kejelasan pihak yang dikontak </w:t>
            </w:r>
          </w:p>
        </w:tc>
        <w:tc>
          <w:tcPr>
            <w:tcW w:w="126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xml:space="preserve">dokumen tidak ada </w:t>
            </w:r>
          </w:p>
        </w:tc>
        <w:tc>
          <w:tcPr>
            <w:tcW w:w="5816"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15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AVb6</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Penunjukan satu petugas khusus yang bertanggungjawab mengelola masukan publik dalam proses pengawasan</w:t>
            </w:r>
          </w:p>
        </w:tc>
        <w:tc>
          <w:tcPr>
            <w:tcW w:w="126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xml:space="preserve">dokumen tidak ada </w:t>
            </w:r>
          </w:p>
        </w:tc>
        <w:tc>
          <w:tcPr>
            <w:tcW w:w="5816"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300"/>
        </w:trPr>
        <w:tc>
          <w:tcPr>
            <w:tcW w:w="85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99"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6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581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65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jc w:val="center"/>
              <w:rPr>
                <w:rFonts w:ascii="Calibri" w:eastAsia="Times New Roman" w:hAnsi="Calibri" w:cs="Times New Roman"/>
                <w:color w:val="000000"/>
                <w:lang w:eastAsia="id-ID"/>
              </w:rPr>
            </w:pPr>
          </w:p>
        </w:tc>
      </w:tr>
      <w:tr w:rsidR="00B038D6" w:rsidRPr="00B038D6" w:rsidTr="00B038D6">
        <w:trPr>
          <w:trHeight w:val="690"/>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lastRenderedPageBreak/>
              <w:t>Indikator</w:t>
            </w:r>
          </w:p>
        </w:tc>
        <w:tc>
          <w:tcPr>
            <w:tcW w:w="8730" w:type="dxa"/>
            <w:gridSpan w:val="3"/>
            <w:tcBorders>
              <w:top w:val="nil"/>
              <w:left w:val="nil"/>
              <w:bottom w:val="nil"/>
              <w:right w:val="nil"/>
            </w:tcBorders>
            <w:shd w:val="clear" w:color="auto" w:fill="auto"/>
            <w:vAlign w:val="center"/>
            <w:hideMark/>
          </w:tcPr>
          <w:p w:rsidR="00B038D6" w:rsidRPr="00B038D6" w:rsidRDefault="00B038D6" w:rsidP="00B038D6">
            <w:pPr>
              <w:spacing w:after="24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xml:space="preserve">: c. Keberadaan dan komprehensiveness aturan yang mengatur program peningkatan kapasitas masyarakat dalam pengawasan pengelolaan hutan dan lahan gambut  </w:t>
            </w:r>
            <w:r w:rsidRPr="00B038D6">
              <w:rPr>
                <w:rFonts w:ascii="Times New Roman" w:eastAsia="Times New Roman" w:hAnsi="Times New Roman" w:cs="Times New Roman"/>
                <w:b/>
                <w:bCs/>
                <w:color w:val="000000"/>
                <w:lang w:eastAsia="id-ID"/>
              </w:rPr>
              <w:br/>
            </w:r>
            <w:r w:rsidRPr="00B038D6">
              <w:rPr>
                <w:rFonts w:ascii="Times New Roman" w:eastAsia="Times New Roman" w:hAnsi="Times New Roman" w:cs="Times New Roman"/>
                <w:b/>
                <w:bCs/>
                <w:color w:val="000000"/>
                <w:lang w:eastAsia="id-ID"/>
              </w:rPr>
              <w:br/>
            </w:r>
          </w:p>
        </w:tc>
      </w:tr>
      <w:tr w:rsidR="00B038D6" w:rsidRPr="00B038D6" w:rsidTr="00B038D6">
        <w:trPr>
          <w:trHeight w:val="30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Kode</w:t>
            </w:r>
          </w:p>
        </w:tc>
        <w:tc>
          <w:tcPr>
            <w:tcW w:w="1299"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Item Data</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Data</w:t>
            </w:r>
          </w:p>
        </w:tc>
        <w:tc>
          <w:tcPr>
            <w:tcW w:w="5816"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Dokumen Hukum dan Kebijakan</w:t>
            </w:r>
          </w:p>
        </w:tc>
        <w:tc>
          <w:tcPr>
            <w:tcW w:w="1652"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Kategori Data</w:t>
            </w:r>
          </w:p>
        </w:tc>
      </w:tr>
      <w:tr w:rsidR="00B038D6" w:rsidRPr="00B038D6" w:rsidTr="00B038D6">
        <w:trPr>
          <w:trHeight w:val="18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AVc1</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Program pemerintah daerah dalam meningkatkan kapasitas masyarakat adat/lokal untuk turut berpartisipasi dalam proses pengawasan</w:t>
            </w:r>
          </w:p>
        </w:tc>
        <w:tc>
          <w:tcPr>
            <w:tcW w:w="126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xml:space="preserve">Pada sebagian masyarakat adat terdapat kearifan lokal yang memang menekankan untuk menjaga keseimbangan lingkungan sehingga masyarakat tidak melakukan eksploitasi sesuka hatinya. </w:t>
            </w:r>
          </w:p>
        </w:tc>
        <w:tc>
          <w:tcPr>
            <w:tcW w:w="165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15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AVc2</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Program pemerintahan yang lebih tinggi untuk meningkat-kan kapasitas pemerintahan yang lebih rendah dalam melakukan pengawasan</w:t>
            </w:r>
          </w:p>
        </w:tc>
        <w:tc>
          <w:tcPr>
            <w:tcW w:w="126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w:t>
            </w:r>
          </w:p>
        </w:tc>
        <w:tc>
          <w:tcPr>
            <w:tcW w:w="5816"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aturannya makanya anggarannya tidak ada</w:t>
            </w:r>
          </w:p>
        </w:tc>
        <w:tc>
          <w:tcPr>
            <w:tcW w:w="165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300"/>
        </w:trPr>
        <w:tc>
          <w:tcPr>
            <w:tcW w:w="85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99"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6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581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65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jc w:val="center"/>
              <w:rPr>
                <w:rFonts w:ascii="Calibri" w:eastAsia="Times New Roman" w:hAnsi="Calibri" w:cs="Times New Roman"/>
                <w:color w:val="000000"/>
                <w:lang w:eastAsia="id-ID"/>
              </w:rPr>
            </w:pPr>
          </w:p>
        </w:tc>
      </w:tr>
      <w:tr w:rsidR="00B038D6" w:rsidRPr="00B038D6" w:rsidTr="00B038D6">
        <w:trPr>
          <w:trHeight w:val="690"/>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Indikator</w:t>
            </w:r>
          </w:p>
        </w:tc>
        <w:tc>
          <w:tcPr>
            <w:tcW w:w="8730" w:type="dxa"/>
            <w:gridSpan w:val="3"/>
            <w:tcBorders>
              <w:top w:val="nil"/>
              <w:left w:val="nil"/>
              <w:bottom w:val="nil"/>
              <w:right w:val="nil"/>
            </w:tcBorders>
            <w:shd w:val="clear" w:color="auto" w:fill="auto"/>
            <w:vAlign w:val="center"/>
            <w:hideMark/>
          </w:tcPr>
          <w:p w:rsidR="00B038D6" w:rsidRPr="00B038D6" w:rsidRDefault="00B038D6" w:rsidP="00B038D6">
            <w:pPr>
              <w:spacing w:after="24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d. Keberadaan dan komprehensiveness aturan yang mengatur mekanisme penindaklanjutan temuan penyelewengan/indikasi korupsi yang responsif</w:t>
            </w:r>
            <w:r w:rsidRPr="00B038D6">
              <w:rPr>
                <w:rFonts w:ascii="Times New Roman" w:eastAsia="Times New Roman" w:hAnsi="Times New Roman" w:cs="Times New Roman"/>
                <w:b/>
                <w:bCs/>
                <w:color w:val="000000"/>
                <w:lang w:eastAsia="id-ID"/>
              </w:rPr>
              <w:br/>
            </w:r>
            <w:r w:rsidRPr="00B038D6">
              <w:rPr>
                <w:rFonts w:ascii="Times New Roman" w:eastAsia="Times New Roman" w:hAnsi="Times New Roman" w:cs="Times New Roman"/>
                <w:b/>
                <w:bCs/>
                <w:color w:val="000000"/>
                <w:lang w:eastAsia="id-ID"/>
              </w:rPr>
              <w:br/>
            </w:r>
            <w:r w:rsidRPr="00B038D6">
              <w:rPr>
                <w:rFonts w:ascii="Times New Roman" w:eastAsia="Times New Roman" w:hAnsi="Times New Roman" w:cs="Times New Roman"/>
                <w:b/>
                <w:bCs/>
                <w:color w:val="000000"/>
                <w:lang w:eastAsia="id-ID"/>
              </w:rPr>
              <w:br/>
            </w:r>
          </w:p>
        </w:tc>
      </w:tr>
      <w:tr w:rsidR="00B038D6" w:rsidRPr="00B038D6" w:rsidTr="00B038D6">
        <w:trPr>
          <w:trHeight w:val="30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Kode</w:t>
            </w:r>
          </w:p>
        </w:tc>
        <w:tc>
          <w:tcPr>
            <w:tcW w:w="1299"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Item Data</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Data</w:t>
            </w:r>
          </w:p>
        </w:tc>
        <w:tc>
          <w:tcPr>
            <w:tcW w:w="5816"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Dokumen Hukum dan Kebijakan</w:t>
            </w:r>
          </w:p>
        </w:tc>
        <w:tc>
          <w:tcPr>
            <w:tcW w:w="1652"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Kategori Data</w:t>
            </w:r>
          </w:p>
        </w:tc>
      </w:tr>
      <w:tr w:rsidR="00B038D6" w:rsidRPr="00B038D6" w:rsidTr="00B038D6">
        <w:trPr>
          <w:trHeight w:val="9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AVd1</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Pelaksanaan perbaikan sistem secara partisipatif dari rekomendasi BPK dan KPK</w:t>
            </w:r>
          </w:p>
        </w:tc>
        <w:tc>
          <w:tcPr>
            <w:tcW w:w="126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xml:space="preserve">dokumen tidak ada </w:t>
            </w:r>
          </w:p>
        </w:tc>
        <w:tc>
          <w:tcPr>
            <w:tcW w:w="5816"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300"/>
        </w:trPr>
        <w:tc>
          <w:tcPr>
            <w:tcW w:w="85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99"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6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581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65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jc w:val="center"/>
              <w:rPr>
                <w:rFonts w:ascii="Calibri" w:eastAsia="Times New Roman" w:hAnsi="Calibri" w:cs="Times New Roman"/>
                <w:color w:val="000000"/>
                <w:lang w:eastAsia="id-ID"/>
              </w:rPr>
            </w:pPr>
          </w:p>
        </w:tc>
      </w:tr>
      <w:tr w:rsidR="00B038D6" w:rsidRPr="00B038D6" w:rsidTr="00B038D6">
        <w:trPr>
          <w:trHeight w:val="690"/>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Indikator</w:t>
            </w:r>
          </w:p>
        </w:tc>
        <w:tc>
          <w:tcPr>
            <w:tcW w:w="8730" w:type="dxa"/>
            <w:gridSpan w:val="3"/>
            <w:tcBorders>
              <w:top w:val="nil"/>
              <w:left w:val="nil"/>
              <w:bottom w:val="nil"/>
              <w:right w:val="nil"/>
            </w:tcBorders>
            <w:shd w:val="clear" w:color="auto" w:fill="auto"/>
            <w:vAlign w:val="center"/>
            <w:hideMark/>
          </w:tcPr>
          <w:p w:rsidR="00B038D6" w:rsidRPr="00B038D6" w:rsidRDefault="00B038D6" w:rsidP="00B038D6">
            <w:pPr>
              <w:spacing w:after="24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e. Keberadaan dan komprehensiveness aturan yang mengatur mekanisme multi door approach dalam penyelesaian kasus-kasus kejahatan kehutanan</w:t>
            </w:r>
            <w:r w:rsidRPr="00B038D6">
              <w:rPr>
                <w:rFonts w:ascii="Times New Roman" w:eastAsia="Times New Roman" w:hAnsi="Times New Roman" w:cs="Times New Roman"/>
                <w:b/>
                <w:bCs/>
                <w:color w:val="000000"/>
                <w:lang w:eastAsia="id-ID"/>
              </w:rPr>
              <w:br/>
            </w:r>
            <w:r w:rsidRPr="00B038D6">
              <w:rPr>
                <w:rFonts w:ascii="Times New Roman" w:eastAsia="Times New Roman" w:hAnsi="Times New Roman" w:cs="Times New Roman"/>
                <w:b/>
                <w:bCs/>
                <w:color w:val="000000"/>
                <w:lang w:eastAsia="id-ID"/>
              </w:rPr>
              <w:br/>
            </w:r>
            <w:r w:rsidRPr="00B038D6">
              <w:rPr>
                <w:rFonts w:ascii="Times New Roman" w:eastAsia="Times New Roman" w:hAnsi="Times New Roman" w:cs="Times New Roman"/>
                <w:b/>
                <w:bCs/>
                <w:color w:val="000000"/>
                <w:lang w:eastAsia="id-ID"/>
              </w:rPr>
              <w:br/>
            </w:r>
            <w:r w:rsidRPr="00B038D6">
              <w:rPr>
                <w:rFonts w:ascii="Times New Roman" w:eastAsia="Times New Roman" w:hAnsi="Times New Roman" w:cs="Times New Roman"/>
                <w:b/>
                <w:bCs/>
                <w:color w:val="000000"/>
                <w:lang w:eastAsia="id-ID"/>
              </w:rPr>
              <w:br/>
            </w:r>
          </w:p>
        </w:tc>
      </w:tr>
      <w:tr w:rsidR="00B038D6" w:rsidRPr="00B038D6" w:rsidTr="00B038D6">
        <w:trPr>
          <w:trHeight w:val="390"/>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Data</w:t>
            </w:r>
          </w:p>
        </w:tc>
        <w:tc>
          <w:tcPr>
            <w:tcW w:w="8730" w:type="dxa"/>
            <w:gridSpan w:val="3"/>
            <w:tcBorders>
              <w:top w:val="nil"/>
              <w:left w:val="nil"/>
              <w:bottom w:val="single" w:sz="4" w:space="0" w:color="auto"/>
              <w:right w:val="nil"/>
            </w:tcBorders>
            <w:shd w:val="clear" w:color="auto" w:fill="auto"/>
            <w:vAlign w:val="center"/>
            <w:hideMark/>
          </w:tcPr>
          <w:p w:rsidR="00B038D6" w:rsidRPr="00B038D6" w:rsidRDefault="00B038D6" w:rsidP="00B038D6">
            <w:pPr>
              <w:spacing w:after="24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aturan KLH-kehutanan (satgas illegal loging)</w:t>
            </w:r>
          </w:p>
        </w:tc>
      </w:tr>
      <w:tr w:rsidR="00B038D6" w:rsidRPr="00B038D6" w:rsidTr="00B038D6">
        <w:trPr>
          <w:trHeight w:val="30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Kode</w:t>
            </w:r>
          </w:p>
        </w:tc>
        <w:tc>
          <w:tcPr>
            <w:tcW w:w="1299"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Item Data</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Data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Dokumen Hukum dan Kebijakan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Kategori Data</w:t>
            </w:r>
          </w:p>
        </w:tc>
      </w:tr>
      <w:tr w:rsidR="00B038D6" w:rsidRPr="00B038D6" w:rsidTr="00B038D6">
        <w:trPr>
          <w:trHeight w:val="18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AVe1</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Pendekatan multi-door ap-proach antara lain terdiri dari pendekatan pidana korupsi, anti money laundering, pidana pajak, dan pidana lingkungan hidup</w:t>
            </w:r>
          </w:p>
        </w:tc>
        <w:tc>
          <w:tcPr>
            <w:tcW w:w="126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xml:space="preserve">dokumen tidak ada </w:t>
            </w:r>
          </w:p>
        </w:tc>
        <w:tc>
          <w:tcPr>
            <w:tcW w:w="5816"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300"/>
        </w:trPr>
        <w:tc>
          <w:tcPr>
            <w:tcW w:w="85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99"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6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581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65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jc w:val="center"/>
              <w:rPr>
                <w:rFonts w:ascii="Calibri" w:eastAsia="Times New Roman" w:hAnsi="Calibri" w:cs="Times New Roman"/>
                <w:color w:val="000000"/>
                <w:lang w:eastAsia="id-ID"/>
              </w:rPr>
            </w:pPr>
          </w:p>
        </w:tc>
      </w:tr>
      <w:tr w:rsidR="00B038D6" w:rsidRPr="00B038D6" w:rsidTr="00B038D6">
        <w:trPr>
          <w:trHeight w:val="330"/>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Isu dalam PGA REDD+</w:t>
            </w:r>
          </w:p>
        </w:tc>
        <w:tc>
          <w:tcPr>
            <w:tcW w:w="7078"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IV. Infrastruktur REDD+</w:t>
            </w:r>
          </w:p>
        </w:tc>
        <w:tc>
          <w:tcPr>
            <w:tcW w:w="165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p>
        </w:tc>
      </w:tr>
      <w:tr w:rsidR="00B038D6" w:rsidRPr="00B038D6" w:rsidTr="00B038D6">
        <w:trPr>
          <w:trHeight w:val="765"/>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Indikator</w:t>
            </w:r>
          </w:p>
        </w:tc>
        <w:tc>
          <w:tcPr>
            <w:tcW w:w="8730" w:type="dxa"/>
            <w:gridSpan w:val="3"/>
            <w:tcBorders>
              <w:top w:val="nil"/>
              <w:left w:val="nil"/>
              <w:bottom w:val="nil"/>
              <w:right w:val="nil"/>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a. Keberadaan dan komprehensiveness aturan yang mengatur transparansi dalam pengembangan kebijakan dan kelembagaan REDD+</w:t>
            </w:r>
          </w:p>
        </w:tc>
      </w:tr>
      <w:tr w:rsidR="00B038D6" w:rsidRPr="00B038D6" w:rsidTr="00B038D6">
        <w:trPr>
          <w:trHeight w:val="390"/>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Data</w:t>
            </w:r>
          </w:p>
        </w:tc>
        <w:tc>
          <w:tcPr>
            <w:tcW w:w="8730" w:type="dxa"/>
            <w:gridSpan w:val="3"/>
            <w:tcBorders>
              <w:top w:val="nil"/>
              <w:left w:val="nil"/>
              <w:bottom w:val="single" w:sz="4" w:space="0" w:color="auto"/>
              <w:right w:val="nil"/>
            </w:tcBorders>
            <w:shd w:val="clear" w:color="auto" w:fill="auto"/>
            <w:vAlign w:val="center"/>
            <w:hideMark/>
          </w:tcPr>
          <w:p w:rsidR="00B038D6" w:rsidRPr="00B038D6" w:rsidRDefault="00B038D6" w:rsidP="00B038D6">
            <w:pPr>
              <w:spacing w:after="24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(UKP4, Permenhut, Perda/SK Gub/Bup)</w:t>
            </w:r>
            <w:r w:rsidRPr="00B038D6">
              <w:rPr>
                <w:rFonts w:ascii="Times New Roman" w:eastAsia="Times New Roman" w:hAnsi="Times New Roman" w:cs="Times New Roman"/>
                <w:b/>
                <w:bCs/>
                <w:color w:val="000000"/>
                <w:lang w:eastAsia="id-ID"/>
              </w:rPr>
              <w:br/>
            </w:r>
          </w:p>
        </w:tc>
      </w:tr>
      <w:tr w:rsidR="00B038D6" w:rsidRPr="00B038D6" w:rsidTr="00B038D6">
        <w:trPr>
          <w:trHeight w:val="30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Kode</w:t>
            </w:r>
          </w:p>
        </w:tc>
        <w:tc>
          <w:tcPr>
            <w:tcW w:w="1299"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Item Data</w:t>
            </w:r>
          </w:p>
        </w:tc>
        <w:tc>
          <w:tcPr>
            <w:tcW w:w="126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Data</w:t>
            </w:r>
          </w:p>
        </w:tc>
        <w:tc>
          <w:tcPr>
            <w:tcW w:w="5816"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Dokumen Hukum dan Kebijakan</w:t>
            </w:r>
          </w:p>
        </w:tc>
        <w:tc>
          <w:tcPr>
            <w:tcW w:w="1652"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Kategori Data</w:t>
            </w:r>
          </w:p>
        </w:tc>
      </w:tr>
      <w:tr w:rsidR="00B038D6" w:rsidRPr="00B038D6" w:rsidTr="00B038D6">
        <w:trPr>
          <w:trHeight w:val="15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lastRenderedPageBreak/>
              <w:t>AVIa1</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Ketersediaan seluruh informasi dalam kaitannya dengan proses pembentukan infrastruktur, pelaksanaan dan pengawasan REDD+</w:t>
            </w:r>
          </w:p>
        </w:tc>
        <w:tc>
          <w:tcPr>
            <w:tcW w:w="126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xml:space="preserve">dokumen tidak ada </w:t>
            </w:r>
          </w:p>
        </w:tc>
        <w:tc>
          <w:tcPr>
            <w:tcW w:w="5816"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12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AVIa2</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Kewajiban agar Badan Publik memiliki petugas khusus yang menangani permintaan informasi publik</w:t>
            </w:r>
          </w:p>
        </w:tc>
        <w:tc>
          <w:tcPr>
            <w:tcW w:w="126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xml:space="preserve">dokumen tidak ada </w:t>
            </w:r>
          </w:p>
        </w:tc>
        <w:tc>
          <w:tcPr>
            <w:tcW w:w="5816"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9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AVIa3</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Pemberian akses bagi publik baik secara proaktif maupun berdasarkan permintaan</w:t>
            </w:r>
          </w:p>
        </w:tc>
        <w:tc>
          <w:tcPr>
            <w:tcW w:w="126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xml:space="preserve">dokumen tidak ada </w:t>
            </w:r>
          </w:p>
        </w:tc>
        <w:tc>
          <w:tcPr>
            <w:tcW w:w="5816"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15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AVIa4</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Batasan atas informasi yg dapat diakses diatur dengan jelas dan didasarkan pada kepentingan publik (balancing public interest test)</w:t>
            </w:r>
          </w:p>
        </w:tc>
        <w:tc>
          <w:tcPr>
            <w:tcW w:w="126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xml:space="preserve">dokumen tidak ada </w:t>
            </w:r>
          </w:p>
        </w:tc>
        <w:tc>
          <w:tcPr>
            <w:tcW w:w="5816"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9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AVIa5</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Sanksi bagi pihak-pihak yang sengaja menghambat akses publik atas informasi</w:t>
            </w:r>
          </w:p>
        </w:tc>
        <w:tc>
          <w:tcPr>
            <w:tcW w:w="126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xml:space="preserve">dokumen tidak ada </w:t>
            </w:r>
          </w:p>
        </w:tc>
        <w:tc>
          <w:tcPr>
            <w:tcW w:w="5816"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300"/>
        </w:trPr>
        <w:tc>
          <w:tcPr>
            <w:tcW w:w="85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99"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6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581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65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jc w:val="center"/>
              <w:rPr>
                <w:rFonts w:ascii="Calibri" w:eastAsia="Times New Roman" w:hAnsi="Calibri" w:cs="Times New Roman"/>
                <w:color w:val="000000"/>
                <w:lang w:eastAsia="id-ID"/>
              </w:rPr>
            </w:pPr>
          </w:p>
        </w:tc>
      </w:tr>
      <w:tr w:rsidR="00B038D6" w:rsidRPr="00B038D6" w:rsidTr="00B038D6">
        <w:trPr>
          <w:trHeight w:val="765"/>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Indikator</w:t>
            </w:r>
          </w:p>
        </w:tc>
        <w:tc>
          <w:tcPr>
            <w:tcW w:w="8730" w:type="dxa"/>
            <w:gridSpan w:val="3"/>
            <w:tcBorders>
              <w:top w:val="nil"/>
              <w:left w:val="nil"/>
              <w:bottom w:val="nil"/>
              <w:right w:val="nil"/>
            </w:tcBorders>
            <w:shd w:val="clear" w:color="auto" w:fill="auto"/>
            <w:vAlign w:val="center"/>
            <w:hideMark/>
          </w:tcPr>
          <w:p w:rsidR="00B038D6" w:rsidRPr="00B038D6" w:rsidRDefault="00B038D6" w:rsidP="00B038D6">
            <w:pPr>
              <w:spacing w:after="24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b. Keberadaan dan komprehensiveness aturan yang mengatur penyusunan kebijakan dan kelembagaan REDD+ yang obyektif dan transparan</w:t>
            </w:r>
          </w:p>
        </w:tc>
      </w:tr>
      <w:tr w:rsidR="00B038D6" w:rsidRPr="00B038D6" w:rsidTr="00B038D6">
        <w:trPr>
          <w:trHeight w:val="30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Kode</w:t>
            </w:r>
          </w:p>
        </w:tc>
        <w:tc>
          <w:tcPr>
            <w:tcW w:w="1299"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Item Data</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Data</w:t>
            </w:r>
          </w:p>
        </w:tc>
        <w:tc>
          <w:tcPr>
            <w:tcW w:w="5816"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Dokumen Hukum dan Kebijakan</w:t>
            </w:r>
          </w:p>
        </w:tc>
        <w:tc>
          <w:tcPr>
            <w:tcW w:w="1652"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Kategori Data</w:t>
            </w:r>
          </w:p>
        </w:tc>
      </w:tr>
      <w:tr w:rsidR="00B038D6" w:rsidRPr="00B038D6" w:rsidTr="00B038D6">
        <w:trPr>
          <w:trHeight w:val="18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AVIb1</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Penyampaian informasi atas rencana pembentukan peraturan/kebijakan terkait REDD+ kepada seluruh pihak yg memiliki hak serta pihak yg berkepentingan</w:t>
            </w:r>
          </w:p>
        </w:tc>
        <w:tc>
          <w:tcPr>
            <w:tcW w:w="126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xml:space="preserve">dokumen tidak ada </w:t>
            </w:r>
          </w:p>
        </w:tc>
        <w:tc>
          <w:tcPr>
            <w:tcW w:w="5816"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18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AVIb2</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Mekanisme yang memudahkan bagi seluruh pihak yang berkepentingan untuk dapat terlibat dalam proses pengambilan keputusan</w:t>
            </w:r>
          </w:p>
        </w:tc>
        <w:tc>
          <w:tcPr>
            <w:tcW w:w="126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xml:space="preserve">dokumen tidak ada </w:t>
            </w:r>
          </w:p>
        </w:tc>
        <w:tc>
          <w:tcPr>
            <w:tcW w:w="5816"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18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AVIb3</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Penunjukan satu petugas khusus yang bertanggungjawab mengelola masukan publik dalam proses pembentukan kebijakan terkait REDD+;</w:t>
            </w:r>
          </w:p>
        </w:tc>
        <w:tc>
          <w:tcPr>
            <w:tcW w:w="126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xml:space="preserve">dokumen tidak ada </w:t>
            </w:r>
          </w:p>
        </w:tc>
        <w:tc>
          <w:tcPr>
            <w:tcW w:w="5816"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9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AVIb4</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Dokumentasi setiap masukan baik yang tertulis ataupun tidak</w:t>
            </w:r>
          </w:p>
        </w:tc>
        <w:tc>
          <w:tcPr>
            <w:tcW w:w="126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xml:space="preserve">dokumen tidak ada </w:t>
            </w:r>
          </w:p>
        </w:tc>
        <w:tc>
          <w:tcPr>
            <w:tcW w:w="5816"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1512"/>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lastRenderedPageBreak/>
              <w:t>AVIb5</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Pemberian respon yang bersifat terbuka atas setiap masukan yang ada (metode umpan balik)</w:t>
            </w:r>
          </w:p>
        </w:tc>
        <w:tc>
          <w:tcPr>
            <w:tcW w:w="126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xml:space="preserve">dokumen tidak ada </w:t>
            </w:r>
          </w:p>
        </w:tc>
        <w:tc>
          <w:tcPr>
            <w:tcW w:w="5816"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6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AVIb6</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Penjelasan atas keputusan akhir yang diambil</w:t>
            </w:r>
          </w:p>
        </w:tc>
        <w:tc>
          <w:tcPr>
            <w:tcW w:w="126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xml:space="preserve">dokumen tidak ada </w:t>
            </w:r>
          </w:p>
        </w:tc>
        <w:tc>
          <w:tcPr>
            <w:tcW w:w="5816"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12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AVIb7</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Pelaksanakan seluruh proses partisipasi dalam waktu yang cukup, (minimum 45 hari kerja)</w:t>
            </w:r>
          </w:p>
        </w:tc>
        <w:tc>
          <w:tcPr>
            <w:tcW w:w="126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xml:space="preserve">dokumen tidak ada </w:t>
            </w:r>
          </w:p>
        </w:tc>
        <w:tc>
          <w:tcPr>
            <w:tcW w:w="5816"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300"/>
        </w:trPr>
        <w:tc>
          <w:tcPr>
            <w:tcW w:w="85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99"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6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581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65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jc w:val="center"/>
              <w:rPr>
                <w:rFonts w:ascii="Calibri" w:eastAsia="Times New Roman" w:hAnsi="Calibri" w:cs="Times New Roman"/>
                <w:color w:val="000000"/>
                <w:lang w:eastAsia="id-ID"/>
              </w:rPr>
            </w:pPr>
          </w:p>
        </w:tc>
      </w:tr>
      <w:tr w:rsidR="00B038D6" w:rsidRPr="00B038D6" w:rsidTr="00B038D6">
        <w:trPr>
          <w:trHeight w:val="765"/>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Indikator</w:t>
            </w:r>
          </w:p>
        </w:tc>
        <w:tc>
          <w:tcPr>
            <w:tcW w:w="8730" w:type="dxa"/>
            <w:gridSpan w:val="3"/>
            <w:tcBorders>
              <w:top w:val="nil"/>
              <w:left w:val="nil"/>
              <w:bottom w:val="nil"/>
              <w:right w:val="nil"/>
            </w:tcBorders>
            <w:shd w:val="clear" w:color="auto" w:fill="auto"/>
            <w:vAlign w:val="center"/>
            <w:hideMark/>
          </w:tcPr>
          <w:p w:rsidR="00B038D6" w:rsidRPr="00B038D6" w:rsidRDefault="00B038D6" w:rsidP="00B038D6">
            <w:pPr>
              <w:spacing w:after="24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xml:space="preserve">: c. Keberadaan dan komprehensiveness aturan yang mengatur mekanisme penanganan pengaduan masyarakat dalam proses pengembangan kebijakan dan kelembagaan REDD+ </w:t>
            </w:r>
          </w:p>
        </w:tc>
      </w:tr>
      <w:tr w:rsidR="00B038D6" w:rsidRPr="00B038D6" w:rsidTr="00B038D6">
        <w:trPr>
          <w:trHeight w:val="30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Kode</w:t>
            </w:r>
          </w:p>
        </w:tc>
        <w:tc>
          <w:tcPr>
            <w:tcW w:w="1299"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Item Data</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Data</w:t>
            </w:r>
          </w:p>
        </w:tc>
        <w:tc>
          <w:tcPr>
            <w:tcW w:w="5816"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Dokumen Hukum dan Kebijakan</w:t>
            </w:r>
          </w:p>
        </w:tc>
        <w:tc>
          <w:tcPr>
            <w:tcW w:w="1652"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Kategori Data</w:t>
            </w:r>
          </w:p>
        </w:tc>
      </w:tr>
      <w:tr w:rsidR="00B038D6" w:rsidRPr="00B038D6" w:rsidTr="00B038D6">
        <w:trPr>
          <w:trHeight w:val="30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AVIc1</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Mekanisme pengaduan masyarakat yang memudahkan bagi seluruh pihak (termasuk competitors) untuk menyampaikan pengaduan dan mendapatkan kejelasan tindakan yang telah diambil atas pengaduan yang disampaikan dalam jangka waktu yang jelas</w:t>
            </w:r>
          </w:p>
        </w:tc>
        <w:tc>
          <w:tcPr>
            <w:tcW w:w="126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xml:space="preserve">dokumen tidak ada </w:t>
            </w:r>
          </w:p>
        </w:tc>
        <w:tc>
          <w:tcPr>
            <w:tcW w:w="5816"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18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AVIc2</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Mekanisme resolusi konflik dan penyelesaian sengketa melalui jalur perundingan apabila terdapat perbedaan pandangan yg tajam atas suatu hal</w:t>
            </w:r>
          </w:p>
        </w:tc>
        <w:tc>
          <w:tcPr>
            <w:tcW w:w="126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xml:space="preserve">dokumen tidak ada </w:t>
            </w:r>
          </w:p>
        </w:tc>
        <w:tc>
          <w:tcPr>
            <w:tcW w:w="5816"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9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AVIc3</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Jasa mediator yang memiliki keahlian dan pemahaman tentang isu-isu adat</w:t>
            </w:r>
          </w:p>
        </w:tc>
        <w:tc>
          <w:tcPr>
            <w:tcW w:w="126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xml:space="preserve">dokumen tidak ada </w:t>
            </w:r>
          </w:p>
        </w:tc>
        <w:tc>
          <w:tcPr>
            <w:tcW w:w="5816"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300"/>
        </w:trPr>
        <w:tc>
          <w:tcPr>
            <w:tcW w:w="85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99"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6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581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65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jc w:val="center"/>
              <w:rPr>
                <w:rFonts w:ascii="Calibri" w:eastAsia="Times New Roman" w:hAnsi="Calibri" w:cs="Times New Roman"/>
                <w:color w:val="000000"/>
                <w:lang w:eastAsia="id-ID"/>
              </w:rPr>
            </w:pPr>
          </w:p>
        </w:tc>
      </w:tr>
      <w:tr w:rsidR="00B038D6" w:rsidRPr="00B038D6" w:rsidTr="00B038D6">
        <w:trPr>
          <w:trHeight w:val="930"/>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Indikator</w:t>
            </w:r>
          </w:p>
        </w:tc>
        <w:tc>
          <w:tcPr>
            <w:tcW w:w="8730" w:type="dxa"/>
            <w:gridSpan w:val="3"/>
            <w:tcBorders>
              <w:top w:val="nil"/>
              <w:left w:val="nil"/>
              <w:bottom w:val="nil"/>
              <w:right w:val="nil"/>
            </w:tcBorders>
            <w:shd w:val="clear" w:color="auto" w:fill="auto"/>
            <w:vAlign w:val="center"/>
            <w:hideMark/>
          </w:tcPr>
          <w:p w:rsidR="00B038D6" w:rsidRPr="00B038D6" w:rsidRDefault="00B038D6" w:rsidP="00B038D6">
            <w:pPr>
              <w:spacing w:after="24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xml:space="preserve">: d. Keberadaan dan komprehensiveness aturan yang mengatur program peningkatan kapasitas aparat pemerintah dan masyarakat dalam penyiapan pengembangan kebijakan dan kelembagaan REDD+  </w:t>
            </w:r>
            <w:r w:rsidRPr="00B038D6">
              <w:rPr>
                <w:rFonts w:ascii="Times New Roman" w:eastAsia="Times New Roman" w:hAnsi="Times New Roman" w:cs="Times New Roman"/>
                <w:b/>
                <w:bCs/>
                <w:color w:val="000000"/>
                <w:lang w:eastAsia="id-ID"/>
              </w:rPr>
              <w:br/>
              <w:t xml:space="preserve"> </w:t>
            </w:r>
          </w:p>
        </w:tc>
      </w:tr>
      <w:tr w:rsidR="00B038D6" w:rsidRPr="00B038D6" w:rsidTr="00B038D6">
        <w:trPr>
          <w:trHeight w:val="30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Kode</w:t>
            </w:r>
          </w:p>
        </w:tc>
        <w:tc>
          <w:tcPr>
            <w:tcW w:w="1299"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Item Data</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Data</w:t>
            </w:r>
          </w:p>
        </w:tc>
        <w:tc>
          <w:tcPr>
            <w:tcW w:w="5816"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Dokumen Hukum dan Kebijakan</w:t>
            </w:r>
          </w:p>
        </w:tc>
        <w:tc>
          <w:tcPr>
            <w:tcW w:w="1652"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Kategori Data</w:t>
            </w:r>
          </w:p>
        </w:tc>
      </w:tr>
      <w:tr w:rsidR="00B038D6" w:rsidRPr="00B038D6" w:rsidTr="00B038D6">
        <w:trPr>
          <w:trHeight w:val="18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AVId1</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Program untuk meningkatkan kapasitas masyarakat adat/lokal untuk untuk memahami REDD+ serta pilihan-pilihan kebijakan yang ada</w:t>
            </w:r>
          </w:p>
        </w:tc>
        <w:tc>
          <w:tcPr>
            <w:tcW w:w="126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xml:space="preserve">dokumen tidak ada </w:t>
            </w:r>
          </w:p>
        </w:tc>
        <w:tc>
          <w:tcPr>
            <w:tcW w:w="5816"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18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lastRenderedPageBreak/>
              <w:t>AVId2</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Program untuk peningkatan kapasitas pemerintahan yang lebih rendah untuk memahami REDD+ serta pilihan-pilihan kebijakan yang ada</w:t>
            </w:r>
          </w:p>
        </w:tc>
        <w:tc>
          <w:tcPr>
            <w:tcW w:w="126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xml:space="preserve">dokumen tidak ada </w:t>
            </w:r>
          </w:p>
        </w:tc>
        <w:tc>
          <w:tcPr>
            <w:tcW w:w="5816"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300"/>
        </w:trPr>
        <w:tc>
          <w:tcPr>
            <w:tcW w:w="85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99"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6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581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65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jc w:val="center"/>
              <w:rPr>
                <w:rFonts w:ascii="Calibri" w:eastAsia="Times New Roman" w:hAnsi="Calibri" w:cs="Times New Roman"/>
                <w:color w:val="000000"/>
                <w:lang w:eastAsia="id-ID"/>
              </w:rPr>
            </w:pPr>
          </w:p>
        </w:tc>
      </w:tr>
      <w:tr w:rsidR="00B038D6" w:rsidRPr="00B038D6" w:rsidTr="00B038D6">
        <w:trPr>
          <w:trHeight w:val="930"/>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Indikator</w:t>
            </w:r>
          </w:p>
        </w:tc>
        <w:tc>
          <w:tcPr>
            <w:tcW w:w="8730" w:type="dxa"/>
            <w:gridSpan w:val="3"/>
            <w:tcBorders>
              <w:top w:val="nil"/>
              <w:left w:val="nil"/>
              <w:bottom w:val="nil"/>
              <w:right w:val="nil"/>
            </w:tcBorders>
            <w:shd w:val="clear" w:color="auto" w:fill="auto"/>
            <w:vAlign w:val="center"/>
            <w:hideMark/>
          </w:tcPr>
          <w:p w:rsidR="00B038D6" w:rsidRPr="00B038D6" w:rsidRDefault="00B038D6" w:rsidP="00B038D6">
            <w:pPr>
              <w:spacing w:after="24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xml:space="preserve">: e. Keberadaan dan komprehensiveness aturan yang mengatur mekanisme tindak lanjut temuan penyelewengan/indikasi korupsi kegiatan REDD+ yang responsif </w:t>
            </w:r>
            <w:r w:rsidRPr="00B038D6">
              <w:rPr>
                <w:rFonts w:ascii="Times New Roman" w:eastAsia="Times New Roman" w:hAnsi="Times New Roman" w:cs="Times New Roman"/>
                <w:b/>
                <w:bCs/>
                <w:color w:val="000000"/>
                <w:lang w:eastAsia="id-ID"/>
              </w:rPr>
              <w:br/>
              <w:t xml:space="preserve"> </w:t>
            </w:r>
            <w:r w:rsidRPr="00B038D6">
              <w:rPr>
                <w:rFonts w:ascii="Times New Roman" w:eastAsia="Times New Roman" w:hAnsi="Times New Roman" w:cs="Times New Roman"/>
                <w:b/>
                <w:bCs/>
                <w:color w:val="000000"/>
                <w:lang w:eastAsia="id-ID"/>
              </w:rPr>
              <w:br/>
              <w:t xml:space="preserve"> </w:t>
            </w:r>
          </w:p>
        </w:tc>
      </w:tr>
      <w:tr w:rsidR="00B038D6" w:rsidRPr="00B038D6" w:rsidTr="00B038D6">
        <w:trPr>
          <w:trHeight w:val="30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Kode</w:t>
            </w:r>
          </w:p>
        </w:tc>
        <w:tc>
          <w:tcPr>
            <w:tcW w:w="1299"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Item Data</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Data</w:t>
            </w:r>
          </w:p>
        </w:tc>
        <w:tc>
          <w:tcPr>
            <w:tcW w:w="5816"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Dokumen Hukum dan Kebijakan</w:t>
            </w:r>
          </w:p>
        </w:tc>
        <w:tc>
          <w:tcPr>
            <w:tcW w:w="1652"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Kategori Data</w:t>
            </w:r>
          </w:p>
        </w:tc>
      </w:tr>
      <w:tr w:rsidR="00B038D6" w:rsidRPr="00B038D6" w:rsidTr="00B038D6">
        <w:trPr>
          <w:trHeight w:val="12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AVIe1</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Pelaksanaan perbaikan sistem berdasarkan rekomendasi BPK secara partisipatif</w:t>
            </w:r>
          </w:p>
        </w:tc>
        <w:tc>
          <w:tcPr>
            <w:tcW w:w="126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xml:space="preserve">dokumen tidak ada </w:t>
            </w:r>
          </w:p>
        </w:tc>
        <w:tc>
          <w:tcPr>
            <w:tcW w:w="5816"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300"/>
        </w:trPr>
        <w:tc>
          <w:tcPr>
            <w:tcW w:w="85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99"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26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5816"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Calibri" w:eastAsia="Times New Roman" w:hAnsi="Calibri" w:cs="Times New Roman"/>
                <w:color w:val="000000"/>
                <w:lang w:eastAsia="id-ID"/>
              </w:rPr>
            </w:pPr>
          </w:p>
        </w:tc>
        <w:tc>
          <w:tcPr>
            <w:tcW w:w="1652" w:type="dxa"/>
            <w:tcBorders>
              <w:top w:val="nil"/>
              <w:left w:val="nil"/>
              <w:bottom w:val="nil"/>
              <w:right w:val="nil"/>
            </w:tcBorders>
            <w:shd w:val="clear" w:color="auto" w:fill="auto"/>
            <w:noWrap/>
            <w:vAlign w:val="center"/>
            <w:hideMark/>
          </w:tcPr>
          <w:p w:rsidR="00B038D6" w:rsidRPr="00B038D6" w:rsidRDefault="00B038D6" w:rsidP="00B038D6">
            <w:pPr>
              <w:spacing w:after="0" w:line="240" w:lineRule="auto"/>
              <w:jc w:val="center"/>
              <w:rPr>
                <w:rFonts w:ascii="Calibri" w:eastAsia="Times New Roman" w:hAnsi="Calibri" w:cs="Times New Roman"/>
                <w:color w:val="000000"/>
                <w:lang w:eastAsia="id-ID"/>
              </w:rPr>
            </w:pPr>
          </w:p>
        </w:tc>
      </w:tr>
      <w:tr w:rsidR="00B038D6" w:rsidRPr="00B038D6" w:rsidTr="00B038D6">
        <w:trPr>
          <w:trHeight w:val="780"/>
        </w:trPr>
        <w:tc>
          <w:tcPr>
            <w:tcW w:w="2155" w:type="dxa"/>
            <w:gridSpan w:val="2"/>
            <w:tcBorders>
              <w:top w:val="nil"/>
              <w:left w:val="nil"/>
              <w:bottom w:val="nil"/>
              <w:right w:val="nil"/>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Indikator</w:t>
            </w:r>
          </w:p>
        </w:tc>
        <w:tc>
          <w:tcPr>
            <w:tcW w:w="8730" w:type="dxa"/>
            <w:gridSpan w:val="3"/>
            <w:tcBorders>
              <w:top w:val="nil"/>
              <w:left w:val="nil"/>
              <w:bottom w:val="nil"/>
              <w:right w:val="nil"/>
            </w:tcBorders>
            <w:shd w:val="clear" w:color="auto" w:fill="auto"/>
            <w:vAlign w:val="center"/>
            <w:hideMark/>
          </w:tcPr>
          <w:p w:rsidR="00B038D6" w:rsidRPr="00B038D6" w:rsidRDefault="00B038D6" w:rsidP="00B038D6">
            <w:pPr>
              <w:spacing w:after="240" w:line="240" w:lineRule="auto"/>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 f. Keberadaan dan komprehensiveness aturan yang mengatur mekanisme penanganan pengaduan dalam konflik terkait dengan kegiatan REDD+</w:t>
            </w:r>
            <w:r w:rsidRPr="00B038D6">
              <w:rPr>
                <w:rFonts w:ascii="Times New Roman" w:eastAsia="Times New Roman" w:hAnsi="Times New Roman" w:cs="Times New Roman"/>
                <w:b/>
                <w:bCs/>
                <w:color w:val="000000"/>
                <w:lang w:eastAsia="id-ID"/>
              </w:rPr>
              <w:br/>
              <w:t xml:space="preserve"> </w:t>
            </w:r>
          </w:p>
        </w:tc>
      </w:tr>
      <w:tr w:rsidR="00B038D6" w:rsidRPr="00B038D6" w:rsidTr="00B038D6">
        <w:trPr>
          <w:trHeight w:val="30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Kode</w:t>
            </w:r>
          </w:p>
        </w:tc>
        <w:tc>
          <w:tcPr>
            <w:tcW w:w="1299"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Item Data</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Data</w:t>
            </w:r>
          </w:p>
        </w:tc>
        <w:tc>
          <w:tcPr>
            <w:tcW w:w="5816"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Sumber Dokumen Hukum dan Kebijakan</w:t>
            </w:r>
          </w:p>
        </w:tc>
        <w:tc>
          <w:tcPr>
            <w:tcW w:w="1652" w:type="dxa"/>
            <w:tcBorders>
              <w:top w:val="single" w:sz="4" w:space="0" w:color="auto"/>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b/>
                <w:bCs/>
                <w:color w:val="000000"/>
                <w:lang w:eastAsia="id-ID"/>
              </w:rPr>
            </w:pPr>
            <w:r w:rsidRPr="00B038D6">
              <w:rPr>
                <w:rFonts w:ascii="Times New Roman" w:eastAsia="Times New Roman" w:hAnsi="Times New Roman" w:cs="Times New Roman"/>
                <w:b/>
                <w:bCs/>
                <w:color w:val="000000"/>
                <w:lang w:eastAsia="id-ID"/>
              </w:rPr>
              <w:t>Kategori Data</w:t>
            </w:r>
          </w:p>
        </w:tc>
      </w:tr>
      <w:tr w:rsidR="00B038D6" w:rsidRPr="00B038D6" w:rsidTr="00B038D6">
        <w:trPr>
          <w:trHeight w:val="1500"/>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AVIf1</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Mekanisme pengaduan yang sederhana, memilik tenggat waktu yang jelas serta kejelasan tindakan yang telah diambil</w:t>
            </w:r>
          </w:p>
        </w:tc>
        <w:tc>
          <w:tcPr>
            <w:tcW w:w="126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xml:space="preserve">dokumen tidak ada </w:t>
            </w:r>
          </w:p>
        </w:tc>
        <w:tc>
          <w:tcPr>
            <w:tcW w:w="5816"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900"/>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AVIf2</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Mekanisme resolusi konflik dan penyelesaian sengketa melalui jalur perundingan</w:t>
            </w:r>
          </w:p>
        </w:tc>
        <w:tc>
          <w:tcPr>
            <w:tcW w:w="126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xml:space="preserve">dokumen tidak ada </w:t>
            </w:r>
          </w:p>
        </w:tc>
        <w:tc>
          <w:tcPr>
            <w:tcW w:w="5816"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1500"/>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AVIf3</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Mewajibkan mediator yang disediakan untuk memiliki keahlian dan pemahaman tentang isu-isu adat/masyarakat lokal</w:t>
            </w:r>
          </w:p>
        </w:tc>
        <w:tc>
          <w:tcPr>
            <w:tcW w:w="126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xml:space="preserve">dokumen tidak ada </w:t>
            </w:r>
          </w:p>
        </w:tc>
        <w:tc>
          <w:tcPr>
            <w:tcW w:w="5816"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r w:rsidR="00B038D6" w:rsidRPr="00B038D6" w:rsidTr="00B038D6">
        <w:trPr>
          <w:trHeight w:val="1500"/>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AVIf4</w:t>
            </w:r>
          </w:p>
        </w:tc>
        <w:tc>
          <w:tcPr>
            <w:tcW w:w="1299" w:type="dxa"/>
            <w:tcBorders>
              <w:top w:val="nil"/>
              <w:left w:val="nil"/>
              <w:bottom w:val="single" w:sz="4" w:space="0" w:color="auto"/>
              <w:right w:val="single" w:sz="4" w:space="0" w:color="auto"/>
            </w:tcBorders>
            <w:shd w:val="clear" w:color="auto" w:fill="auto"/>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Mekanisme pengawasan eksternal atas kinerja penegak hukum dalam menindaklanjuti pengaduan masyarakat</w:t>
            </w:r>
          </w:p>
        </w:tc>
        <w:tc>
          <w:tcPr>
            <w:tcW w:w="126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 xml:space="preserve">dokumen tidak ada </w:t>
            </w:r>
          </w:p>
        </w:tc>
        <w:tc>
          <w:tcPr>
            <w:tcW w:w="5816"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Tidak ada penjelasan</w:t>
            </w:r>
          </w:p>
        </w:tc>
        <w:tc>
          <w:tcPr>
            <w:tcW w:w="1652" w:type="dxa"/>
            <w:tcBorders>
              <w:top w:val="nil"/>
              <w:left w:val="nil"/>
              <w:bottom w:val="single" w:sz="4" w:space="0" w:color="auto"/>
              <w:right w:val="single" w:sz="4" w:space="0" w:color="auto"/>
            </w:tcBorders>
            <w:shd w:val="clear" w:color="auto" w:fill="auto"/>
            <w:noWrap/>
            <w:vAlign w:val="center"/>
            <w:hideMark/>
          </w:tcPr>
          <w:p w:rsidR="00B038D6" w:rsidRPr="00B038D6" w:rsidRDefault="00B038D6" w:rsidP="00B038D6">
            <w:pPr>
              <w:spacing w:after="0" w:line="240" w:lineRule="auto"/>
              <w:jc w:val="center"/>
              <w:rPr>
                <w:rFonts w:ascii="Times New Roman" w:eastAsia="Times New Roman" w:hAnsi="Times New Roman" w:cs="Times New Roman"/>
                <w:color w:val="000000"/>
                <w:lang w:eastAsia="id-ID"/>
              </w:rPr>
            </w:pPr>
            <w:r w:rsidRPr="00B038D6">
              <w:rPr>
                <w:rFonts w:ascii="Times New Roman" w:eastAsia="Times New Roman" w:hAnsi="Times New Roman" w:cs="Times New Roman"/>
                <w:color w:val="000000"/>
                <w:lang w:eastAsia="id-ID"/>
              </w:rPr>
              <w:t>1</w:t>
            </w:r>
          </w:p>
        </w:tc>
      </w:tr>
    </w:tbl>
    <w:p w:rsidR="00B038D6" w:rsidRDefault="00B038D6"/>
    <w:sectPr w:rsidR="00B038D6"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4165D1"/>
    <w:rsid w:val="006E5970"/>
    <w:rsid w:val="00727A1C"/>
    <w:rsid w:val="00A91768"/>
    <w:rsid w:val="00B038D6"/>
    <w:rsid w:val="00BB5203"/>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127166133">
      <w:bodyDiv w:val="1"/>
      <w:marLeft w:val="0"/>
      <w:marRight w:val="0"/>
      <w:marTop w:val="0"/>
      <w:marBottom w:val="0"/>
      <w:divBdr>
        <w:top w:val="none" w:sz="0" w:space="0" w:color="auto"/>
        <w:left w:val="none" w:sz="0" w:space="0" w:color="auto"/>
        <w:bottom w:val="none" w:sz="0" w:space="0" w:color="auto"/>
        <w:right w:val="none" w:sz="0" w:space="0" w:color="auto"/>
      </w:divBdr>
    </w:div>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997029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14</Pages>
  <Words>3892</Words>
  <Characters>22185</Characters>
  <Application>Microsoft Office Word</Application>
  <DocSecurity>0</DocSecurity>
  <Lines>184</Lines>
  <Paragraphs>52</Paragraphs>
  <ScaleCrop>false</ScaleCrop>
  <Company/>
  <LinksUpToDate>false</LinksUpToDate>
  <CharactersWithSpaces>26025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2</cp:revision>
  <dcterms:created xsi:type="dcterms:W3CDTF">2012-10-16T01:42:00Z</dcterms:created>
  <dcterms:modified xsi:type="dcterms:W3CDTF">2012-10-17T00:45:00Z</dcterms:modified>
</cp:coreProperties>
</file>